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406"/>
      </w:tblGrid>
      <w:tr w:rsidR="000E6820" w:rsidTr="006F272C">
        <w:trPr>
          <w:trHeight w:val="2880"/>
          <w:jc w:val="center"/>
        </w:trPr>
        <w:tc>
          <w:tcPr>
            <w:tcW w:w="5000" w:type="pct"/>
          </w:tcPr>
          <w:p w:rsidR="000E6820" w:rsidRDefault="000E6820" w:rsidP="006F272C">
            <w:pPr>
              <w:pStyle w:val="NoSpacing"/>
              <w:rPr>
                <w:rFonts w:eastAsiaTheme="majorEastAsia"/>
              </w:rPr>
            </w:pPr>
          </w:p>
        </w:tc>
      </w:tr>
      <w:tr w:rsidR="000E6820" w:rsidRPr="000B07DF" w:rsidTr="006F272C">
        <w:trPr>
          <w:trHeight w:val="1440"/>
          <w:jc w:val="center"/>
        </w:trPr>
        <w:tc>
          <w:tcPr>
            <w:tcW w:w="5000" w:type="pct"/>
            <w:vAlign w:val="center"/>
          </w:tcPr>
          <w:p w:rsidR="000E6820" w:rsidRDefault="000E6820" w:rsidP="006F272C">
            <w:pPr>
              <w:pStyle w:val="Title"/>
              <w:pBdr>
                <w:bottom w:val="none" w:sz="0" w:space="0" w:color="auto"/>
              </w:pBdr>
              <w:jc w:val="center"/>
              <w:rPr>
                <w:lang w:val="de-DE"/>
              </w:rPr>
            </w:pPr>
            <w:r w:rsidRPr="000764B4">
              <w:rPr>
                <w:lang w:val="de-DE"/>
              </w:rPr>
              <w:t xml:space="preserve">Plan </w:t>
            </w:r>
            <w:proofErr w:type="spellStart"/>
            <w:r>
              <w:rPr>
                <w:lang w:val="de-DE"/>
              </w:rPr>
              <w:t>cadre</w:t>
            </w:r>
            <w:proofErr w:type="spellEnd"/>
            <w:r w:rsidRPr="000764B4">
              <w:rPr>
                <w:lang w:val="de-DE"/>
              </w:rPr>
              <w:t xml:space="preserve"> national </w:t>
            </w:r>
          </w:p>
          <w:p w:rsidR="000E6820" w:rsidRDefault="000E6820" w:rsidP="006F272C">
            <w:pPr>
              <w:pStyle w:val="Title"/>
              <w:pBdr>
                <w:bottom w:val="none" w:sz="0" w:space="0" w:color="auto"/>
              </w:pBdr>
              <w:jc w:val="center"/>
              <w:rPr>
                <w:lang w:val="de-DE"/>
              </w:rPr>
            </w:pPr>
            <w:r w:rsidRPr="002E3481">
              <w:rPr>
                <w:lang w:val="de-DE"/>
              </w:rPr>
              <w:t>« </w:t>
            </w:r>
            <w:proofErr w:type="spellStart"/>
            <w:r>
              <w:rPr>
                <w:lang w:val="de-DE"/>
              </w:rPr>
              <w:t>Gesond</w:t>
            </w:r>
            <w:proofErr w:type="spellEnd"/>
            <w:r>
              <w:rPr>
                <w:lang w:val="de-DE"/>
              </w:rPr>
              <w:t xml:space="preserve"> </w:t>
            </w:r>
            <w:proofErr w:type="spellStart"/>
            <w:r>
              <w:rPr>
                <w:lang w:val="de-DE"/>
              </w:rPr>
              <w:t>i</w:t>
            </w:r>
            <w:r w:rsidRPr="000764B4">
              <w:rPr>
                <w:lang w:val="de-DE"/>
              </w:rPr>
              <w:t>essen</w:t>
            </w:r>
            <w:proofErr w:type="spellEnd"/>
            <w:r>
              <w:rPr>
                <w:lang w:val="de-DE"/>
              </w:rPr>
              <w:t xml:space="preserve">, </w:t>
            </w:r>
            <w:proofErr w:type="spellStart"/>
            <w:r>
              <w:rPr>
                <w:lang w:val="de-DE"/>
              </w:rPr>
              <w:t>Méi</w:t>
            </w:r>
            <w:proofErr w:type="spellEnd"/>
            <w:r>
              <w:rPr>
                <w:lang w:val="de-DE"/>
              </w:rPr>
              <w:t xml:space="preserve"> b</w:t>
            </w:r>
            <w:r w:rsidRPr="000764B4">
              <w:rPr>
                <w:lang w:val="de-DE"/>
              </w:rPr>
              <w:t>ewegen</w:t>
            </w:r>
            <w:r w:rsidRPr="002E3481">
              <w:rPr>
                <w:lang w:val="de-DE"/>
              </w:rPr>
              <w:t> »</w:t>
            </w:r>
          </w:p>
          <w:p w:rsidR="000E6820" w:rsidRPr="002242A4" w:rsidRDefault="000E6820" w:rsidP="006F272C">
            <w:pPr>
              <w:pStyle w:val="Title"/>
              <w:pBdr>
                <w:bottom w:val="none" w:sz="0" w:space="0" w:color="auto"/>
              </w:pBdr>
              <w:jc w:val="center"/>
              <w:rPr>
                <w:lang w:val="de-DE"/>
              </w:rPr>
            </w:pPr>
            <w:r>
              <w:rPr>
                <w:lang w:val="de-DE"/>
              </w:rPr>
              <w:t>2018-2025</w:t>
            </w:r>
          </w:p>
        </w:tc>
      </w:tr>
      <w:tr w:rsidR="000E6820" w:rsidRPr="000B07DF" w:rsidTr="006F272C">
        <w:trPr>
          <w:trHeight w:val="720"/>
          <w:jc w:val="center"/>
        </w:trPr>
        <w:tc>
          <w:tcPr>
            <w:tcW w:w="5000" w:type="pct"/>
            <w:vAlign w:val="center"/>
          </w:tcPr>
          <w:p w:rsidR="000E6820" w:rsidRPr="00AE7698" w:rsidRDefault="000E6820" w:rsidP="006F272C">
            <w:pPr>
              <w:pStyle w:val="NoSpacing"/>
              <w:rPr>
                <w:rFonts w:eastAsiaTheme="majorEastAsia"/>
              </w:rPr>
            </w:pPr>
          </w:p>
        </w:tc>
      </w:tr>
      <w:tr w:rsidR="000E6820" w:rsidRPr="000B07DF" w:rsidTr="006F272C">
        <w:trPr>
          <w:trHeight w:val="360"/>
          <w:jc w:val="center"/>
        </w:trPr>
        <w:tc>
          <w:tcPr>
            <w:tcW w:w="5000" w:type="pct"/>
            <w:vAlign w:val="center"/>
          </w:tcPr>
          <w:p w:rsidR="000E6820" w:rsidRPr="00AE7698" w:rsidRDefault="000E6820" w:rsidP="006F272C">
            <w:pPr>
              <w:pStyle w:val="NoSpacing"/>
            </w:pPr>
          </w:p>
        </w:tc>
      </w:tr>
      <w:tr w:rsidR="000E6820" w:rsidRPr="000B07DF" w:rsidTr="006F272C">
        <w:trPr>
          <w:trHeight w:val="360"/>
          <w:jc w:val="center"/>
        </w:trPr>
        <w:tc>
          <w:tcPr>
            <w:tcW w:w="5000" w:type="pct"/>
            <w:vAlign w:val="center"/>
          </w:tcPr>
          <w:p w:rsidR="000E6820" w:rsidRPr="00466CEC" w:rsidRDefault="000E6820" w:rsidP="006F272C">
            <w:pPr>
              <w:pStyle w:val="NoSpacing"/>
              <w:rPr>
                <w:lang w:val="de-DE"/>
              </w:rPr>
            </w:pPr>
            <w:r>
              <w:rPr>
                <w:noProof/>
                <w:lang w:eastAsia="fr-LU"/>
              </w:rPr>
              <w:drawing>
                <wp:inline distT="0" distB="0" distL="0" distR="0" wp14:anchorId="5F88A666" wp14:editId="18648906">
                  <wp:extent cx="3596640" cy="2522220"/>
                  <wp:effectExtent l="0" t="0" r="3810" b="0"/>
                  <wp:docPr id="16" name="Picture 16" descr="C:\Users\ghs516\Documents\GIMB\logo_G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s516\Documents\GIMB\logo_GI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2522220"/>
                          </a:xfrm>
                          <a:prstGeom prst="rect">
                            <a:avLst/>
                          </a:prstGeom>
                          <a:noFill/>
                          <a:ln>
                            <a:noFill/>
                          </a:ln>
                        </pic:spPr>
                      </pic:pic>
                    </a:graphicData>
                  </a:graphic>
                </wp:inline>
              </w:drawing>
            </w:r>
          </w:p>
        </w:tc>
      </w:tr>
      <w:tr w:rsidR="000E6820" w:rsidRPr="000B07DF" w:rsidTr="006F272C">
        <w:trPr>
          <w:trHeight w:val="360"/>
          <w:jc w:val="center"/>
        </w:trPr>
        <w:tc>
          <w:tcPr>
            <w:tcW w:w="5000" w:type="pct"/>
            <w:vAlign w:val="center"/>
          </w:tcPr>
          <w:p w:rsidR="000E6820" w:rsidRPr="00AE7698" w:rsidRDefault="000E6820" w:rsidP="006F272C">
            <w:pPr>
              <w:pStyle w:val="NoSpacing"/>
            </w:pPr>
          </w:p>
        </w:tc>
      </w:tr>
    </w:tbl>
    <w:p w:rsidR="000E6820" w:rsidRDefault="000E6820"/>
    <w:p w:rsidR="000E6820" w:rsidRDefault="000E6820">
      <w:pPr>
        <w:spacing w:before="0" w:after="200" w:line="276" w:lineRule="auto"/>
        <w:jc w:val="left"/>
      </w:pPr>
      <w:r>
        <w:br w:type="page"/>
      </w:r>
    </w:p>
    <w:p w:rsidR="00D02B89" w:rsidRDefault="000E6820" w:rsidP="000E6820">
      <w:pPr>
        <w:rPr>
          <w:b/>
          <w:color w:val="548DD4" w:themeColor="text2" w:themeTint="99"/>
          <w:sz w:val="32"/>
          <w:szCs w:val="32"/>
        </w:rPr>
      </w:pPr>
      <w:r w:rsidRPr="000E6820">
        <w:rPr>
          <w:b/>
          <w:color w:val="548DD4" w:themeColor="text2" w:themeTint="99"/>
          <w:sz w:val="32"/>
          <w:szCs w:val="32"/>
        </w:rPr>
        <w:lastRenderedPageBreak/>
        <w:t>Renouvellement du programme "</w:t>
      </w:r>
      <w:proofErr w:type="spellStart"/>
      <w:r w:rsidRPr="000E6820">
        <w:rPr>
          <w:b/>
          <w:color w:val="548DD4" w:themeColor="text2" w:themeTint="99"/>
          <w:sz w:val="32"/>
          <w:szCs w:val="32"/>
        </w:rPr>
        <w:t>Gesond</w:t>
      </w:r>
      <w:proofErr w:type="spellEnd"/>
      <w:r w:rsidRPr="000E6820">
        <w:rPr>
          <w:b/>
          <w:color w:val="548DD4" w:themeColor="text2" w:themeTint="99"/>
          <w:sz w:val="32"/>
          <w:szCs w:val="32"/>
        </w:rPr>
        <w:t xml:space="preserve"> </w:t>
      </w:r>
      <w:proofErr w:type="spellStart"/>
      <w:r w:rsidRPr="000E6820">
        <w:rPr>
          <w:b/>
          <w:color w:val="548DD4" w:themeColor="text2" w:themeTint="99"/>
          <w:sz w:val="32"/>
          <w:szCs w:val="32"/>
        </w:rPr>
        <w:t>iessen</w:t>
      </w:r>
      <w:proofErr w:type="spellEnd"/>
      <w:r w:rsidRPr="000E6820">
        <w:rPr>
          <w:b/>
          <w:color w:val="548DD4" w:themeColor="text2" w:themeTint="99"/>
          <w:sz w:val="32"/>
          <w:szCs w:val="32"/>
        </w:rPr>
        <w:t xml:space="preserve">, </w:t>
      </w:r>
      <w:proofErr w:type="spellStart"/>
      <w:r w:rsidRPr="000E6820">
        <w:rPr>
          <w:b/>
          <w:color w:val="548DD4" w:themeColor="text2" w:themeTint="99"/>
          <w:sz w:val="32"/>
          <w:szCs w:val="32"/>
        </w:rPr>
        <w:t>Méi</w:t>
      </w:r>
      <w:proofErr w:type="spellEnd"/>
      <w:r w:rsidRPr="000E6820">
        <w:rPr>
          <w:b/>
          <w:color w:val="548DD4" w:themeColor="text2" w:themeTint="99"/>
          <w:sz w:val="32"/>
          <w:szCs w:val="32"/>
        </w:rPr>
        <w:t xml:space="preserve"> </w:t>
      </w:r>
      <w:proofErr w:type="spellStart"/>
      <w:r w:rsidRPr="000E6820">
        <w:rPr>
          <w:b/>
          <w:color w:val="548DD4" w:themeColor="text2" w:themeTint="99"/>
          <w:sz w:val="32"/>
          <w:szCs w:val="32"/>
        </w:rPr>
        <w:t>bewegen</w:t>
      </w:r>
      <w:proofErr w:type="spellEnd"/>
      <w:r w:rsidRPr="000E6820">
        <w:rPr>
          <w:b/>
          <w:color w:val="548DD4" w:themeColor="text2" w:themeTint="99"/>
          <w:sz w:val="32"/>
          <w:szCs w:val="32"/>
        </w:rPr>
        <w:t>" (GIMB) d</w:t>
      </w:r>
      <w:bookmarkStart w:id="0" w:name="_GoBack"/>
      <w:bookmarkEnd w:id="0"/>
      <w:r w:rsidRPr="000E6820">
        <w:rPr>
          <w:b/>
          <w:color w:val="548DD4" w:themeColor="text2" w:themeTint="99"/>
          <w:sz w:val="32"/>
          <w:szCs w:val="32"/>
        </w:rPr>
        <w:t>ans un plan cadre national GIMB 2018-2025</w:t>
      </w:r>
    </w:p>
    <w:p w:rsidR="00352767" w:rsidRPr="00D7458B" w:rsidRDefault="00352767" w:rsidP="00352767">
      <w:pPr>
        <w:spacing w:before="0" w:after="0"/>
        <w:rPr>
          <w:sz w:val="24"/>
        </w:rPr>
      </w:pPr>
      <w:r w:rsidRPr="00D7458B">
        <w:rPr>
          <w:sz w:val="24"/>
        </w:rPr>
        <w:t>Dès 2006, face à la problématique de l’obésité et de la sédentarité et dans le cadre d’un engagement international, les ministères de l’Éducation nationale, de l’Enfance et de la Jeunesse, de la Famille, de l’Intégration et à la Grande Région, de la Santé et des Sports du Luxembourg ont élaboré une stratégie interministérielle « </w:t>
      </w:r>
      <w:proofErr w:type="spellStart"/>
      <w:r w:rsidRPr="00D7458B">
        <w:rPr>
          <w:sz w:val="24"/>
        </w:rPr>
        <w:t>Gesond</w:t>
      </w:r>
      <w:proofErr w:type="spellEnd"/>
      <w:r w:rsidRPr="00D7458B">
        <w:rPr>
          <w:sz w:val="24"/>
        </w:rPr>
        <w:t xml:space="preserve"> </w:t>
      </w:r>
      <w:proofErr w:type="spellStart"/>
      <w:r w:rsidRPr="00D7458B">
        <w:rPr>
          <w:sz w:val="24"/>
        </w:rPr>
        <w:t>iessen</w:t>
      </w:r>
      <w:proofErr w:type="spellEnd"/>
      <w:r w:rsidRPr="00D7458B">
        <w:rPr>
          <w:sz w:val="24"/>
        </w:rPr>
        <w:t xml:space="preserve">, </w:t>
      </w:r>
      <w:proofErr w:type="spellStart"/>
      <w:r w:rsidRPr="00D7458B">
        <w:rPr>
          <w:sz w:val="24"/>
        </w:rPr>
        <w:t>Méi</w:t>
      </w:r>
      <w:proofErr w:type="spellEnd"/>
      <w:r w:rsidRPr="00D7458B">
        <w:rPr>
          <w:sz w:val="24"/>
        </w:rPr>
        <w:t xml:space="preserve"> </w:t>
      </w:r>
      <w:proofErr w:type="spellStart"/>
      <w:r w:rsidRPr="00D7458B">
        <w:rPr>
          <w:sz w:val="24"/>
        </w:rPr>
        <w:t>bewegen</w:t>
      </w:r>
      <w:proofErr w:type="spellEnd"/>
      <w:r w:rsidRPr="00D7458B">
        <w:rPr>
          <w:sz w:val="24"/>
        </w:rPr>
        <w:t xml:space="preserve"> », appelé GIMB. </w:t>
      </w:r>
      <w:r w:rsidR="00290817" w:rsidRPr="00D7458B">
        <w:rPr>
          <w:sz w:val="24"/>
        </w:rPr>
        <w:t xml:space="preserve">Dans le cadre de cette stratégie, </w:t>
      </w:r>
      <w:r w:rsidRPr="00D7458B">
        <w:rPr>
          <w:sz w:val="24"/>
        </w:rPr>
        <w:t>des recommandations nationales ont été élaborées, des collaborations intersectorielles ont pu être créées et renforcées</w:t>
      </w:r>
      <w:r w:rsidR="002E3481">
        <w:rPr>
          <w:sz w:val="24"/>
        </w:rPr>
        <w:t>,</w:t>
      </w:r>
      <w:r w:rsidRPr="00D7458B">
        <w:rPr>
          <w:sz w:val="24"/>
        </w:rPr>
        <w:t xml:space="preserve"> et des mesures politiques favorables ont été mises en place telle que le plan d’action national GIMB dans le domaine spécifique de l’activité physique. Un label GIMB fût créé et plus de 500 projets et activités ont pu être réalisés sous ce label. Cependant l’obésité et la sédentarité restent, actuellement, un problème de santé publique au Luxembourg. </w:t>
      </w:r>
    </w:p>
    <w:p w:rsidR="00352767" w:rsidRPr="00D7458B" w:rsidRDefault="00352767" w:rsidP="00352767">
      <w:pPr>
        <w:spacing w:before="0" w:after="0"/>
        <w:rPr>
          <w:sz w:val="24"/>
        </w:rPr>
      </w:pPr>
    </w:p>
    <w:p w:rsidR="00352767" w:rsidRPr="00D7458B" w:rsidRDefault="00352767" w:rsidP="00352767">
      <w:pPr>
        <w:spacing w:before="0" w:after="0"/>
        <w:rPr>
          <w:sz w:val="24"/>
        </w:rPr>
      </w:pPr>
      <w:r w:rsidRPr="00D7458B">
        <w:rPr>
          <w:sz w:val="24"/>
        </w:rPr>
        <w:t>Fin 2016, les Ministres de l’Éducation nationale, de l’Enfance et de la Jeunesse, de la Famille, de l’Intégration et à la Grande Région, de la Santé et des Sports ont réaffirmé leur engagement à renouveler la stratégie GIMB.</w:t>
      </w:r>
    </w:p>
    <w:p w:rsidR="00352767" w:rsidRPr="00D7458B" w:rsidRDefault="00352767" w:rsidP="00352767">
      <w:pPr>
        <w:spacing w:before="0" w:after="0"/>
        <w:rPr>
          <w:sz w:val="24"/>
        </w:rPr>
      </w:pPr>
    </w:p>
    <w:p w:rsidR="00352767" w:rsidRDefault="00352767" w:rsidP="00352767">
      <w:pPr>
        <w:spacing w:before="0" w:after="0"/>
        <w:rPr>
          <w:sz w:val="24"/>
        </w:rPr>
      </w:pPr>
      <w:r w:rsidRPr="00D7458B">
        <w:rPr>
          <w:sz w:val="24"/>
        </w:rPr>
        <w:t xml:space="preserve">Entre 2017 et 2018, le comité interministériel GIMB, composé de représentant des 4 ministères engagés, fût en charge de la définition des principes directeurs, des axes, des objectifs du plan et des indicateurs d’évaluation selon les recommandations internationales. Afin de recueillir les propositions des professionnels et des acteurs de terrain pour l’élaboration de mesures et d’activités potentielles à mettre en place dans le cadre du plan, le comité interministériel a créé plusieurs groupes de travail : un groupe « gouvernance », un groupe « personnes âgées », un groupe « adultes » et un groupe « enfants et adolescents ». </w:t>
      </w:r>
    </w:p>
    <w:p w:rsidR="00F62A57" w:rsidRPr="00D7458B" w:rsidRDefault="00F62A57" w:rsidP="00352767">
      <w:pPr>
        <w:spacing w:before="0" w:after="0"/>
        <w:rPr>
          <w:sz w:val="24"/>
        </w:rPr>
      </w:pPr>
    </w:p>
    <w:p w:rsidR="00290817" w:rsidRPr="00D7458B" w:rsidRDefault="00352767" w:rsidP="00290817">
      <w:pPr>
        <w:rPr>
          <w:sz w:val="24"/>
        </w:rPr>
      </w:pPr>
      <w:r w:rsidRPr="00D7458B">
        <w:rPr>
          <w:sz w:val="24"/>
        </w:rPr>
        <w:lastRenderedPageBreak/>
        <w:t xml:space="preserve">En 2018, </w:t>
      </w:r>
      <w:r w:rsidR="00290817" w:rsidRPr="00D7458B">
        <w:rPr>
          <w:sz w:val="24"/>
        </w:rPr>
        <w:t>le Conseil de gouvernement a marqué son accord quant au renouvellement du programme "</w:t>
      </w:r>
      <w:proofErr w:type="spellStart"/>
      <w:r w:rsidR="00290817" w:rsidRPr="00D7458B">
        <w:rPr>
          <w:sz w:val="24"/>
        </w:rPr>
        <w:t>Gesond</w:t>
      </w:r>
      <w:proofErr w:type="spellEnd"/>
      <w:r w:rsidR="00290817" w:rsidRPr="00D7458B">
        <w:rPr>
          <w:sz w:val="24"/>
        </w:rPr>
        <w:t xml:space="preserve"> </w:t>
      </w:r>
      <w:proofErr w:type="spellStart"/>
      <w:r w:rsidR="00290817" w:rsidRPr="00D7458B">
        <w:rPr>
          <w:sz w:val="24"/>
        </w:rPr>
        <w:t>iessen</w:t>
      </w:r>
      <w:proofErr w:type="spellEnd"/>
      <w:r w:rsidR="00290817" w:rsidRPr="00D7458B">
        <w:rPr>
          <w:sz w:val="24"/>
        </w:rPr>
        <w:t xml:space="preserve">, </w:t>
      </w:r>
      <w:proofErr w:type="spellStart"/>
      <w:r w:rsidR="00290817" w:rsidRPr="00D7458B">
        <w:rPr>
          <w:sz w:val="24"/>
        </w:rPr>
        <w:t>Méi</w:t>
      </w:r>
      <w:proofErr w:type="spellEnd"/>
      <w:r w:rsidR="00290817" w:rsidRPr="00D7458B">
        <w:rPr>
          <w:sz w:val="24"/>
        </w:rPr>
        <w:t xml:space="preserve"> </w:t>
      </w:r>
      <w:proofErr w:type="spellStart"/>
      <w:r w:rsidR="00290817" w:rsidRPr="00D7458B">
        <w:rPr>
          <w:sz w:val="24"/>
        </w:rPr>
        <w:t>bewegen</w:t>
      </w:r>
      <w:proofErr w:type="spellEnd"/>
      <w:r w:rsidR="00290817" w:rsidRPr="00D7458B">
        <w:rPr>
          <w:sz w:val="24"/>
        </w:rPr>
        <w:t>" (GIMB) dans un plan cadre national GIMB 2018-2025. Cet accord a permis aux 4 ministères engagés de renouveler leur collaboration.</w:t>
      </w:r>
    </w:p>
    <w:p w:rsidR="00290817" w:rsidRPr="00290817" w:rsidRDefault="00290817" w:rsidP="00290817">
      <w:pPr>
        <w:rPr>
          <w:sz w:val="24"/>
          <w:szCs w:val="24"/>
        </w:rPr>
      </w:pPr>
      <w:r w:rsidRPr="005608D3">
        <w:rPr>
          <w:sz w:val="24"/>
          <w:szCs w:val="24"/>
        </w:rPr>
        <w:t xml:space="preserve">L’objectif général </w:t>
      </w:r>
      <w:r w:rsidR="0032323E">
        <w:rPr>
          <w:sz w:val="24"/>
          <w:szCs w:val="24"/>
        </w:rPr>
        <w:t>de ce plan cadre national</w:t>
      </w:r>
      <w:r>
        <w:rPr>
          <w:sz w:val="24"/>
          <w:szCs w:val="24"/>
        </w:rPr>
        <w:t xml:space="preserve"> </w:t>
      </w:r>
      <w:r w:rsidRPr="005608D3">
        <w:rPr>
          <w:sz w:val="24"/>
          <w:szCs w:val="24"/>
        </w:rPr>
        <w:t xml:space="preserve">est de </w:t>
      </w:r>
      <w:r w:rsidRPr="00AB151D">
        <w:rPr>
          <w:b/>
          <w:i/>
          <w:sz w:val="24"/>
          <w:szCs w:val="24"/>
        </w:rPr>
        <w:t>promouvoir ensemble l’alimentation équilibrée et l’activité physique régulière et adaptée et de lutter contre la problématique de l’obésité et de la sédentarité pour l’ensemble de la population</w:t>
      </w:r>
      <w:r w:rsidRPr="005608D3">
        <w:rPr>
          <w:sz w:val="24"/>
          <w:szCs w:val="24"/>
        </w:rPr>
        <w:t xml:space="preserve">. </w:t>
      </w:r>
    </w:p>
    <w:p w:rsidR="000E6820" w:rsidRPr="000E6820" w:rsidRDefault="000E6820" w:rsidP="000E6820">
      <w:pPr>
        <w:rPr>
          <w:b/>
          <w:color w:val="548DD4" w:themeColor="text2" w:themeTint="99"/>
          <w:sz w:val="32"/>
          <w:szCs w:val="32"/>
        </w:rPr>
      </w:pPr>
      <w:r w:rsidRPr="000E6820">
        <w:rPr>
          <w:b/>
          <w:color w:val="548DD4" w:themeColor="text2" w:themeTint="99"/>
          <w:sz w:val="32"/>
          <w:szCs w:val="32"/>
        </w:rPr>
        <w:t xml:space="preserve">Les axes stratégiques du plan cadre national GIMB : </w:t>
      </w:r>
    </w:p>
    <w:p w:rsidR="00A00985" w:rsidRPr="00A00985" w:rsidRDefault="00A00985" w:rsidP="00A00985">
      <w:pPr>
        <w:rPr>
          <w:b/>
          <w:sz w:val="24"/>
          <w:szCs w:val="24"/>
          <w:u w:val="single"/>
        </w:rPr>
      </w:pPr>
      <w:r>
        <w:rPr>
          <w:sz w:val="24"/>
          <w:szCs w:val="24"/>
        </w:rPr>
        <w:t>L</w:t>
      </w:r>
      <w:r w:rsidRPr="000E6836">
        <w:rPr>
          <w:sz w:val="24"/>
          <w:szCs w:val="24"/>
        </w:rPr>
        <w:t xml:space="preserve">es objectifs, mesures et activités </w:t>
      </w:r>
      <w:r w:rsidR="003F2111">
        <w:rPr>
          <w:sz w:val="24"/>
          <w:szCs w:val="24"/>
        </w:rPr>
        <w:t xml:space="preserve">du plan cadre national GIMB </w:t>
      </w:r>
      <w:r w:rsidRPr="000E6836">
        <w:rPr>
          <w:sz w:val="24"/>
          <w:szCs w:val="24"/>
        </w:rPr>
        <w:t xml:space="preserve">ont été développés </w:t>
      </w:r>
      <w:r>
        <w:rPr>
          <w:sz w:val="24"/>
          <w:szCs w:val="24"/>
        </w:rPr>
        <w:t>autour de</w:t>
      </w:r>
      <w:r w:rsidRPr="000E6836">
        <w:rPr>
          <w:sz w:val="24"/>
          <w:szCs w:val="24"/>
        </w:rPr>
        <w:t xml:space="preserve"> </w:t>
      </w:r>
      <w:r w:rsidR="002E4144">
        <w:rPr>
          <w:sz w:val="24"/>
          <w:szCs w:val="24"/>
        </w:rPr>
        <w:t xml:space="preserve">différents axes stratégiques : </w:t>
      </w:r>
    </w:p>
    <w:p w:rsidR="00A00985" w:rsidRDefault="00A00985" w:rsidP="00A00985">
      <w:pPr>
        <w:spacing w:before="0"/>
        <w:rPr>
          <w:sz w:val="24"/>
          <w:szCs w:val="24"/>
        </w:rPr>
      </w:pPr>
      <w:r w:rsidRPr="002E4144">
        <w:rPr>
          <w:color w:val="548DD4" w:themeColor="text2" w:themeTint="99"/>
          <w:sz w:val="24"/>
          <w:szCs w:val="24"/>
          <w:u w:val="single"/>
        </w:rPr>
        <w:t xml:space="preserve">L’axe 1 « Renforcer la </w:t>
      </w:r>
      <w:r w:rsidRPr="00DD6022">
        <w:rPr>
          <w:color w:val="548DD4" w:themeColor="text2" w:themeTint="99"/>
          <w:sz w:val="24"/>
          <w:szCs w:val="24"/>
          <w:u w:val="single"/>
        </w:rPr>
        <w:t>gouvernance »</w:t>
      </w:r>
      <w:r w:rsidR="00DD6022">
        <w:rPr>
          <w:color w:val="548DD4" w:themeColor="text2" w:themeTint="99"/>
          <w:sz w:val="24"/>
          <w:szCs w:val="24"/>
        </w:rPr>
        <w:t>,</w:t>
      </w:r>
      <w:r w:rsidRPr="002E4144">
        <w:rPr>
          <w:color w:val="548DD4" w:themeColor="text2" w:themeTint="99"/>
          <w:sz w:val="24"/>
          <w:szCs w:val="24"/>
        </w:rPr>
        <w:t xml:space="preserve"> </w:t>
      </w:r>
      <w:r w:rsidRPr="000F4DFA">
        <w:rPr>
          <w:sz w:val="24"/>
          <w:szCs w:val="24"/>
        </w:rPr>
        <w:t>a pour objectif de mettre en place un mécanisme de gestion et de représentation de la politique GIMB et de renforcer la visibilité et l’importance de la politique GIMB au niveau national et la collaboration au niveau international.</w:t>
      </w:r>
    </w:p>
    <w:p w:rsidR="00290817" w:rsidRDefault="00B10E4E" w:rsidP="00840C2B">
      <w:pPr>
        <w:pStyle w:val="ListParagraph"/>
        <w:numPr>
          <w:ilvl w:val="0"/>
          <w:numId w:val="12"/>
        </w:numPr>
        <w:spacing w:before="0"/>
        <w:rPr>
          <w:sz w:val="24"/>
          <w:szCs w:val="24"/>
        </w:rPr>
      </w:pPr>
      <w:r>
        <w:rPr>
          <w:sz w:val="24"/>
          <w:szCs w:val="24"/>
          <w:u w:val="single"/>
        </w:rPr>
        <w:t>Extrait des</w:t>
      </w:r>
      <w:r w:rsidR="00290817" w:rsidRPr="00AD73E0">
        <w:rPr>
          <w:sz w:val="24"/>
          <w:szCs w:val="24"/>
          <w:u w:val="single"/>
        </w:rPr>
        <w:t xml:space="preserve"> </w:t>
      </w:r>
      <w:r w:rsidR="00840C2B" w:rsidRPr="00840C2B">
        <w:rPr>
          <w:sz w:val="24"/>
          <w:szCs w:val="24"/>
          <w:u w:val="single"/>
        </w:rPr>
        <w:t>activités</w:t>
      </w:r>
      <w:r w:rsidR="00290817">
        <w:rPr>
          <w:sz w:val="24"/>
          <w:szCs w:val="24"/>
        </w:rPr>
        <w:t xml:space="preserve"> : </w:t>
      </w:r>
    </w:p>
    <w:p w:rsidR="00AD73E0" w:rsidRPr="00AD73E0" w:rsidRDefault="00AD73E0" w:rsidP="00AD73E0">
      <w:pPr>
        <w:pStyle w:val="ListParagraph"/>
        <w:numPr>
          <w:ilvl w:val="1"/>
          <w:numId w:val="12"/>
        </w:numPr>
        <w:spacing w:before="0"/>
        <w:rPr>
          <w:sz w:val="24"/>
          <w:szCs w:val="24"/>
        </w:rPr>
      </w:pPr>
      <w:r w:rsidRPr="00AD73E0">
        <w:rPr>
          <w:sz w:val="24"/>
          <w:szCs w:val="24"/>
        </w:rPr>
        <w:t xml:space="preserve">Mettre en place un conseil supérieur GIMB afin de de contribuer à la visibilité, l’impact et la mise en place du plan au niveau national, un comité exécutif pour coordonner et superviser la mise en place du plan et un bureau de coordination permanent GIMB avec pour rôle de gérer et coordonner les activités du plan et de communiquer autour de ces activités ; </w:t>
      </w:r>
    </w:p>
    <w:p w:rsidR="00AD73E0" w:rsidRPr="00AD73E0" w:rsidRDefault="00AD73E0" w:rsidP="00410817">
      <w:pPr>
        <w:pStyle w:val="ListParagraph"/>
        <w:numPr>
          <w:ilvl w:val="1"/>
          <w:numId w:val="12"/>
        </w:numPr>
        <w:spacing w:before="0"/>
        <w:rPr>
          <w:sz w:val="24"/>
          <w:szCs w:val="24"/>
        </w:rPr>
      </w:pPr>
      <w:r w:rsidRPr="00AD73E0">
        <w:rPr>
          <w:sz w:val="24"/>
          <w:szCs w:val="24"/>
        </w:rPr>
        <w:t xml:space="preserve">Renforcer les collaborations entre les </w:t>
      </w:r>
      <w:r w:rsidR="00410817">
        <w:rPr>
          <w:sz w:val="24"/>
          <w:szCs w:val="24"/>
        </w:rPr>
        <w:t>ministères engagés</w:t>
      </w:r>
      <w:r w:rsidR="00410817" w:rsidRPr="00410817">
        <w:t xml:space="preserve"> </w:t>
      </w:r>
      <w:r w:rsidR="00410817">
        <w:rPr>
          <w:sz w:val="24"/>
          <w:szCs w:val="24"/>
        </w:rPr>
        <w:t xml:space="preserve">et les </w:t>
      </w:r>
      <w:r w:rsidR="009433E5">
        <w:rPr>
          <w:sz w:val="24"/>
          <w:szCs w:val="24"/>
        </w:rPr>
        <w:t xml:space="preserve">autres </w:t>
      </w:r>
      <w:r w:rsidR="00410817">
        <w:rPr>
          <w:sz w:val="24"/>
          <w:szCs w:val="24"/>
        </w:rPr>
        <w:t xml:space="preserve">ministères </w:t>
      </w:r>
      <w:r w:rsidR="00410817" w:rsidRPr="00410817">
        <w:rPr>
          <w:sz w:val="24"/>
          <w:szCs w:val="24"/>
        </w:rPr>
        <w:t xml:space="preserve">qui participent à la mise en place d’activités </w:t>
      </w:r>
      <w:r w:rsidR="00410817">
        <w:rPr>
          <w:sz w:val="24"/>
          <w:szCs w:val="24"/>
        </w:rPr>
        <w:t>sur la thématique GIMB.</w:t>
      </w:r>
    </w:p>
    <w:p w:rsidR="00A00985" w:rsidRDefault="00A00985" w:rsidP="00A00985">
      <w:pPr>
        <w:rPr>
          <w:sz w:val="24"/>
          <w:szCs w:val="24"/>
        </w:rPr>
      </w:pPr>
      <w:bookmarkStart w:id="1" w:name="_Toc508211446"/>
      <w:r w:rsidRPr="002E4144">
        <w:rPr>
          <w:color w:val="548DD4" w:themeColor="text2" w:themeTint="99"/>
          <w:sz w:val="24"/>
          <w:szCs w:val="24"/>
          <w:u w:val="single"/>
        </w:rPr>
        <w:t>L’axe 2 « Promouvoir l’alimentation équilibrée et l’activité physique régulière et adaptée dans toutes les politiques</w:t>
      </w:r>
      <w:bookmarkEnd w:id="1"/>
      <w:r w:rsidRPr="002E4144">
        <w:rPr>
          <w:color w:val="548DD4" w:themeColor="text2" w:themeTint="99"/>
          <w:sz w:val="24"/>
          <w:szCs w:val="24"/>
          <w:u w:val="single"/>
        </w:rPr>
        <w:t> »</w:t>
      </w:r>
      <w:r w:rsidR="00DD6022">
        <w:rPr>
          <w:color w:val="548DD4" w:themeColor="text2" w:themeTint="99"/>
          <w:sz w:val="24"/>
          <w:szCs w:val="24"/>
          <w:u w:val="single"/>
        </w:rPr>
        <w:t>,</w:t>
      </w:r>
      <w:r w:rsidRPr="002E4144">
        <w:rPr>
          <w:b/>
          <w:color w:val="548DD4" w:themeColor="text2" w:themeTint="99"/>
          <w:sz w:val="24"/>
          <w:szCs w:val="24"/>
        </w:rPr>
        <w:t xml:space="preserve"> </w:t>
      </w:r>
      <w:r w:rsidRPr="000F4DFA">
        <w:rPr>
          <w:sz w:val="24"/>
          <w:szCs w:val="24"/>
        </w:rPr>
        <w:t>vise à instaurer un environnement propice à une alimentation équilibrée et à la pratique d’une activité physique régulière et adaptée pour tous les âges et à améliorer les compétences nécessaires à l’adoption d’une alimentation équilibrée et d’une activité physique régulière et adaptée.</w:t>
      </w:r>
    </w:p>
    <w:p w:rsidR="00AD7D23" w:rsidRDefault="00B10E4E" w:rsidP="00AD7D23">
      <w:pPr>
        <w:pStyle w:val="ListParagraph"/>
        <w:numPr>
          <w:ilvl w:val="0"/>
          <w:numId w:val="12"/>
        </w:numPr>
        <w:spacing w:before="0"/>
        <w:rPr>
          <w:sz w:val="24"/>
          <w:szCs w:val="24"/>
        </w:rPr>
      </w:pPr>
      <w:r>
        <w:rPr>
          <w:sz w:val="24"/>
          <w:szCs w:val="24"/>
          <w:u w:val="single"/>
        </w:rPr>
        <w:lastRenderedPageBreak/>
        <w:t>Extrait des</w:t>
      </w:r>
      <w:r w:rsidRPr="00AD73E0">
        <w:rPr>
          <w:sz w:val="24"/>
          <w:szCs w:val="24"/>
          <w:u w:val="single"/>
        </w:rPr>
        <w:t xml:space="preserve"> </w:t>
      </w:r>
      <w:r w:rsidRPr="00840C2B">
        <w:rPr>
          <w:sz w:val="24"/>
          <w:szCs w:val="24"/>
          <w:u w:val="single"/>
        </w:rPr>
        <w:t>activités</w:t>
      </w:r>
      <w:r>
        <w:rPr>
          <w:sz w:val="24"/>
          <w:szCs w:val="24"/>
        </w:rPr>
        <w:t> </w:t>
      </w:r>
      <w:r w:rsidR="00AD7D23">
        <w:rPr>
          <w:sz w:val="24"/>
          <w:szCs w:val="24"/>
        </w:rPr>
        <w:t xml:space="preserve">: </w:t>
      </w:r>
    </w:p>
    <w:p w:rsidR="00AD7D23" w:rsidRDefault="005A5CCD" w:rsidP="006A0AED">
      <w:pPr>
        <w:pStyle w:val="ListParagraph"/>
        <w:numPr>
          <w:ilvl w:val="1"/>
          <w:numId w:val="12"/>
        </w:numPr>
        <w:rPr>
          <w:sz w:val="24"/>
          <w:szCs w:val="24"/>
        </w:rPr>
      </w:pPr>
      <w:r>
        <w:rPr>
          <w:sz w:val="24"/>
          <w:szCs w:val="24"/>
        </w:rPr>
        <w:t>É</w:t>
      </w:r>
      <w:r w:rsidR="006940B2">
        <w:rPr>
          <w:sz w:val="24"/>
          <w:szCs w:val="24"/>
        </w:rPr>
        <w:t xml:space="preserve">laborer des </w:t>
      </w:r>
      <w:r w:rsidR="006A0AED">
        <w:rPr>
          <w:sz w:val="24"/>
          <w:szCs w:val="24"/>
        </w:rPr>
        <w:t>outils pour la mise en place d’activités GIMB auprès de différentes population cible et settings (adolescents, milieux du travail</w:t>
      </w:r>
      <w:r w:rsidR="005B39AF">
        <w:rPr>
          <w:sz w:val="24"/>
          <w:szCs w:val="24"/>
        </w:rPr>
        <w:t>, population 70+</w:t>
      </w:r>
      <w:r w:rsidR="006A0AED">
        <w:rPr>
          <w:sz w:val="24"/>
          <w:szCs w:val="24"/>
        </w:rPr>
        <w:t xml:space="preserve"> …)</w:t>
      </w:r>
      <w:r w:rsidR="005B39AF">
        <w:rPr>
          <w:sz w:val="24"/>
          <w:szCs w:val="24"/>
        </w:rPr>
        <w:t> ;</w:t>
      </w:r>
    </w:p>
    <w:p w:rsidR="006A0AED" w:rsidRDefault="006940B2" w:rsidP="005B39AF">
      <w:pPr>
        <w:pStyle w:val="ListParagraph"/>
        <w:numPr>
          <w:ilvl w:val="1"/>
          <w:numId w:val="12"/>
        </w:numPr>
        <w:rPr>
          <w:sz w:val="24"/>
          <w:szCs w:val="24"/>
        </w:rPr>
      </w:pPr>
      <w:r>
        <w:rPr>
          <w:sz w:val="24"/>
          <w:szCs w:val="24"/>
        </w:rPr>
        <w:t>Renforcer la mise</w:t>
      </w:r>
      <w:r w:rsidR="00C74175">
        <w:rPr>
          <w:sz w:val="24"/>
          <w:szCs w:val="24"/>
        </w:rPr>
        <w:t xml:space="preserve"> en place d’</w:t>
      </w:r>
      <w:r w:rsidR="006A0AED">
        <w:rPr>
          <w:sz w:val="24"/>
          <w:szCs w:val="24"/>
        </w:rPr>
        <w:t>action</w:t>
      </w:r>
      <w:r>
        <w:rPr>
          <w:sz w:val="24"/>
          <w:szCs w:val="24"/>
        </w:rPr>
        <w:t>s</w:t>
      </w:r>
      <w:r w:rsidR="006A0AED">
        <w:rPr>
          <w:sz w:val="24"/>
          <w:szCs w:val="24"/>
        </w:rPr>
        <w:t xml:space="preserve"> pour la promotion des principes GIMB (</w:t>
      </w:r>
      <w:r w:rsidR="005B39AF">
        <w:rPr>
          <w:sz w:val="24"/>
          <w:szCs w:val="24"/>
        </w:rPr>
        <w:t>J</w:t>
      </w:r>
      <w:r w:rsidR="005B39AF" w:rsidRPr="005B39AF">
        <w:rPr>
          <w:sz w:val="24"/>
          <w:szCs w:val="24"/>
        </w:rPr>
        <w:t>ournée sportive FIT 50 +</w:t>
      </w:r>
      <w:r w:rsidR="006A0AED">
        <w:rPr>
          <w:sz w:val="24"/>
          <w:szCs w:val="24"/>
        </w:rPr>
        <w:t xml:space="preserve">, </w:t>
      </w:r>
      <w:proofErr w:type="spellStart"/>
      <w:r w:rsidR="006A0AED" w:rsidRPr="006A0AED">
        <w:rPr>
          <w:sz w:val="24"/>
          <w:szCs w:val="24"/>
        </w:rPr>
        <w:t>Wibbel</w:t>
      </w:r>
      <w:proofErr w:type="spellEnd"/>
      <w:r w:rsidR="006A0AED" w:rsidRPr="006A0AED">
        <w:rPr>
          <w:sz w:val="24"/>
          <w:szCs w:val="24"/>
        </w:rPr>
        <w:t xml:space="preserve"> an </w:t>
      </w:r>
      <w:proofErr w:type="spellStart"/>
      <w:r w:rsidR="006A0AED" w:rsidRPr="006A0AED">
        <w:rPr>
          <w:sz w:val="24"/>
          <w:szCs w:val="24"/>
        </w:rPr>
        <w:t>Dribbel</w:t>
      </w:r>
      <w:proofErr w:type="spellEnd"/>
      <w:r w:rsidR="006A0AED">
        <w:rPr>
          <w:sz w:val="24"/>
          <w:szCs w:val="24"/>
        </w:rPr>
        <w:t xml:space="preserve">, </w:t>
      </w:r>
      <w:r w:rsidR="006A0AED" w:rsidRPr="006A0AED">
        <w:rPr>
          <w:sz w:val="24"/>
          <w:szCs w:val="24"/>
        </w:rPr>
        <w:t>Semaine européenne du Sport</w:t>
      </w:r>
      <w:r w:rsidR="006A0AED">
        <w:rPr>
          <w:sz w:val="24"/>
          <w:szCs w:val="24"/>
        </w:rPr>
        <w:t xml:space="preserve"> …)</w:t>
      </w:r>
      <w:r w:rsidR="005B39AF">
        <w:rPr>
          <w:sz w:val="24"/>
          <w:szCs w:val="24"/>
        </w:rPr>
        <w:t> ;</w:t>
      </w:r>
    </w:p>
    <w:p w:rsidR="00AC52B0" w:rsidRPr="00AC52B0" w:rsidRDefault="00B24AA7" w:rsidP="00AC52B0">
      <w:pPr>
        <w:pStyle w:val="ListParagraph"/>
        <w:numPr>
          <w:ilvl w:val="1"/>
          <w:numId w:val="12"/>
        </w:numPr>
        <w:rPr>
          <w:sz w:val="24"/>
          <w:szCs w:val="24"/>
        </w:rPr>
      </w:pPr>
      <w:r w:rsidRPr="00AC52B0">
        <w:rPr>
          <w:sz w:val="24"/>
          <w:szCs w:val="24"/>
        </w:rPr>
        <w:t>Améliorer les formations initiales et continues des professionnels</w:t>
      </w:r>
      <w:r w:rsidR="00AC52B0">
        <w:rPr>
          <w:sz w:val="24"/>
          <w:szCs w:val="24"/>
        </w:rPr>
        <w:t> ;</w:t>
      </w:r>
    </w:p>
    <w:p w:rsidR="005B39AF" w:rsidRDefault="006940B2" w:rsidP="005B39AF">
      <w:pPr>
        <w:pStyle w:val="ListParagraph"/>
        <w:numPr>
          <w:ilvl w:val="1"/>
          <w:numId w:val="12"/>
        </w:numPr>
        <w:rPr>
          <w:sz w:val="24"/>
          <w:szCs w:val="24"/>
        </w:rPr>
      </w:pPr>
      <w:r>
        <w:rPr>
          <w:sz w:val="24"/>
          <w:szCs w:val="24"/>
        </w:rPr>
        <w:t>Organiser</w:t>
      </w:r>
      <w:r w:rsidR="005B39AF">
        <w:rPr>
          <w:sz w:val="24"/>
          <w:szCs w:val="24"/>
        </w:rPr>
        <w:t xml:space="preserve"> de</w:t>
      </w:r>
      <w:r w:rsidR="00AC52B0">
        <w:rPr>
          <w:sz w:val="24"/>
          <w:szCs w:val="24"/>
        </w:rPr>
        <w:t>s</w:t>
      </w:r>
      <w:r w:rsidR="005B39AF">
        <w:rPr>
          <w:sz w:val="24"/>
          <w:szCs w:val="24"/>
        </w:rPr>
        <w:t xml:space="preserve"> campagnes de sensibilisation</w:t>
      </w:r>
      <w:r>
        <w:rPr>
          <w:sz w:val="24"/>
          <w:szCs w:val="24"/>
        </w:rPr>
        <w:t xml:space="preserve"> </w:t>
      </w:r>
      <w:r w:rsidR="00AC52B0">
        <w:rPr>
          <w:sz w:val="24"/>
          <w:szCs w:val="24"/>
        </w:rPr>
        <w:t xml:space="preserve">annuelles </w:t>
      </w:r>
      <w:r w:rsidR="005B39AF">
        <w:rPr>
          <w:sz w:val="24"/>
          <w:szCs w:val="24"/>
        </w:rPr>
        <w:t>au</w:t>
      </w:r>
      <w:r w:rsidR="00BC4C26">
        <w:rPr>
          <w:sz w:val="24"/>
          <w:szCs w:val="24"/>
        </w:rPr>
        <w:t xml:space="preserve">près de la population générale, </w:t>
      </w:r>
      <w:r w:rsidR="005B39AF">
        <w:rPr>
          <w:sz w:val="24"/>
          <w:szCs w:val="24"/>
        </w:rPr>
        <w:t>des professionnels</w:t>
      </w:r>
      <w:r w:rsidR="00BC4C26">
        <w:rPr>
          <w:sz w:val="24"/>
          <w:szCs w:val="24"/>
        </w:rPr>
        <w:t xml:space="preserve"> et futurs professionnels</w:t>
      </w:r>
      <w:r w:rsidR="005B39AF">
        <w:rPr>
          <w:sz w:val="24"/>
          <w:szCs w:val="24"/>
        </w:rPr>
        <w:t xml:space="preserve"> ; </w:t>
      </w:r>
    </w:p>
    <w:p w:rsidR="005B39AF" w:rsidRDefault="006940B2" w:rsidP="005B39AF">
      <w:pPr>
        <w:pStyle w:val="ListParagraph"/>
        <w:numPr>
          <w:ilvl w:val="1"/>
          <w:numId w:val="12"/>
        </w:numPr>
        <w:rPr>
          <w:sz w:val="24"/>
          <w:szCs w:val="24"/>
        </w:rPr>
      </w:pPr>
      <w:r>
        <w:rPr>
          <w:sz w:val="24"/>
          <w:szCs w:val="24"/>
        </w:rPr>
        <w:t>Collaborer</w:t>
      </w:r>
      <w:r w:rsidR="005B39AF">
        <w:rPr>
          <w:sz w:val="24"/>
          <w:szCs w:val="24"/>
        </w:rPr>
        <w:t xml:space="preserve"> avec le secteur de l’agro-alimentaire nationale et les grandes enseignes commerciales, </w:t>
      </w:r>
      <w:r w:rsidR="00C74175">
        <w:rPr>
          <w:sz w:val="24"/>
          <w:szCs w:val="24"/>
        </w:rPr>
        <w:t>telle que</w:t>
      </w:r>
      <w:r w:rsidR="005B39AF">
        <w:rPr>
          <w:sz w:val="24"/>
          <w:szCs w:val="24"/>
        </w:rPr>
        <w:t xml:space="preserve"> </w:t>
      </w:r>
      <w:r w:rsidR="008807B0">
        <w:rPr>
          <w:sz w:val="24"/>
          <w:szCs w:val="24"/>
        </w:rPr>
        <w:t xml:space="preserve">la campagne « Wat </w:t>
      </w:r>
      <w:proofErr w:type="spellStart"/>
      <w:r w:rsidR="008807B0">
        <w:rPr>
          <w:sz w:val="24"/>
          <w:szCs w:val="24"/>
        </w:rPr>
        <w:t>iesse</w:t>
      </w:r>
      <w:proofErr w:type="spellEnd"/>
      <w:r w:rsidR="008807B0">
        <w:rPr>
          <w:sz w:val="24"/>
          <w:szCs w:val="24"/>
        </w:rPr>
        <w:t xml:space="preserve"> mer? »</w:t>
      </w:r>
      <w:r w:rsidR="005B39AF">
        <w:rPr>
          <w:sz w:val="24"/>
          <w:szCs w:val="24"/>
        </w:rPr>
        <w:t xml:space="preserve"> avec Cactus ; </w:t>
      </w:r>
    </w:p>
    <w:p w:rsidR="005B39AF" w:rsidRPr="006A0AED" w:rsidRDefault="005A5CCD" w:rsidP="005B39AF">
      <w:pPr>
        <w:pStyle w:val="ListParagraph"/>
        <w:numPr>
          <w:ilvl w:val="1"/>
          <w:numId w:val="12"/>
        </w:numPr>
        <w:rPr>
          <w:sz w:val="24"/>
          <w:szCs w:val="24"/>
        </w:rPr>
      </w:pPr>
      <w:r>
        <w:rPr>
          <w:sz w:val="24"/>
          <w:szCs w:val="24"/>
        </w:rPr>
        <w:t>Élaborer</w:t>
      </w:r>
      <w:r w:rsidR="005B39AF" w:rsidRPr="005B39AF">
        <w:rPr>
          <w:sz w:val="24"/>
          <w:szCs w:val="24"/>
        </w:rPr>
        <w:t xml:space="preserve"> de</w:t>
      </w:r>
      <w:r w:rsidR="00871C6A">
        <w:rPr>
          <w:sz w:val="24"/>
          <w:szCs w:val="24"/>
        </w:rPr>
        <w:t>s</w:t>
      </w:r>
      <w:r w:rsidR="005B39AF" w:rsidRPr="005B39AF">
        <w:rPr>
          <w:sz w:val="24"/>
          <w:szCs w:val="24"/>
        </w:rPr>
        <w:t xml:space="preserve"> critères pour la création d’un système d’étiquetage nutritionnel</w:t>
      </w:r>
      <w:r w:rsidR="005B39AF">
        <w:rPr>
          <w:sz w:val="24"/>
          <w:szCs w:val="24"/>
        </w:rPr>
        <w:t xml:space="preserve"> ; </w:t>
      </w:r>
    </w:p>
    <w:p w:rsidR="00A00985" w:rsidRDefault="00A00985" w:rsidP="00A00985">
      <w:pPr>
        <w:rPr>
          <w:sz w:val="24"/>
          <w:szCs w:val="24"/>
        </w:rPr>
      </w:pPr>
      <w:bookmarkStart w:id="2" w:name="_Toc508211453"/>
      <w:r w:rsidRPr="002E4144">
        <w:rPr>
          <w:color w:val="548DD4" w:themeColor="text2" w:themeTint="99"/>
          <w:sz w:val="24"/>
          <w:szCs w:val="24"/>
          <w:u w:val="single"/>
        </w:rPr>
        <w:t>L’axe 3 « Assurer l’implémentation nationale et la viabilité du programme GIMB</w:t>
      </w:r>
      <w:bookmarkEnd w:id="2"/>
      <w:r w:rsidRPr="002E4144">
        <w:rPr>
          <w:color w:val="548DD4" w:themeColor="text2" w:themeTint="99"/>
          <w:sz w:val="24"/>
          <w:szCs w:val="24"/>
          <w:u w:val="single"/>
        </w:rPr>
        <w:t> »</w:t>
      </w:r>
      <w:r w:rsidR="00DD6022">
        <w:rPr>
          <w:color w:val="548DD4" w:themeColor="text2" w:themeTint="99"/>
          <w:sz w:val="24"/>
          <w:szCs w:val="24"/>
          <w:u w:val="single"/>
        </w:rPr>
        <w:t>,</w:t>
      </w:r>
      <w:r w:rsidRPr="002E4144">
        <w:rPr>
          <w:color w:val="548DD4" w:themeColor="text2" w:themeTint="99"/>
          <w:sz w:val="24"/>
          <w:szCs w:val="24"/>
        </w:rPr>
        <w:t xml:space="preserve"> </w:t>
      </w:r>
      <w:r w:rsidRPr="000F4DFA">
        <w:rPr>
          <w:sz w:val="24"/>
          <w:szCs w:val="24"/>
        </w:rPr>
        <w:t>a pour objectif d’assurer une cohérence des messages nationaux sur l’alimentation équilibrée et l’activité physique régulière et adaptée et d’améliorer la communication et la visibilité autour des activités liées à la politique GIMB.</w:t>
      </w:r>
    </w:p>
    <w:p w:rsidR="00D7458B" w:rsidRDefault="00B10E4E" w:rsidP="00D7458B">
      <w:pPr>
        <w:pStyle w:val="ListParagraph"/>
        <w:numPr>
          <w:ilvl w:val="0"/>
          <w:numId w:val="12"/>
        </w:numPr>
        <w:spacing w:before="0"/>
        <w:rPr>
          <w:sz w:val="24"/>
          <w:szCs w:val="24"/>
        </w:rPr>
      </w:pPr>
      <w:r>
        <w:rPr>
          <w:sz w:val="24"/>
          <w:szCs w:val="24"/>
          <w:u w:val="single"/>
        </w:rPr>
        <w:t>Extrait des</w:t>
      </w:r>
      <w:r w:rsidRPr="00AD73E0">
        <w:rPr>
          <w:sz w:val="24"/>
          <w:szCs w:val="24"/>
          <w:u w:val="single"/>
        </w:rPr>
        <w:t xml:space="preserve"> </w:t>
      </w:r>
      <w:r w:rsidRPr="00840C2B">
        <w:rPr>
          <w:sz w:val="24"/>
          <w:szCs w:val="24"/>
          <w:u w:val="single"/>
        </w:rPr>
        <w:t>activités</w:t>
      </w:r>
      <w:r>
        <w:rPr>
          <w:sz w:val="24"/>
          <w:szCs w:val="24"/>
        </w:rPr>
        <w:t> </w:t>
      </w:r>
      <w:r w:rsidR="00D7458B">
        <w:rPr>
          <w:sz w:val="24"/>
          <w:szCs w:val="24"/>
        </w:rPr>
        <w:t xml:space="preserve">: </w:t>
      </w:r>
    </w:p>
    <w:p w:rsidR="00D7458B" w:rsidRPr="00D7458B" w:rsidRDefault="00D7458B" w:rsidP="00D7458B">
      <w:pPr>
        <w:pStyle w:val="ListParagraph"/>
        <w:numPr>
          <w:ilvl w:val="1"/>
          <w:numId w:val="12"/>
        </w:numPr>
        <w:spacing w:before="0"/>
        <w:rPr>
          <w:sz w:val="24"/>
          <w:szCs w:val="24"/>
        </w:rPr>
      </w:pPr>
      <w:r w:rsidRPr="00D7458B">
        <w:rPr>
          <w:sz w:val="24"/>
          <w:szCs w:val="24"/>
        </w:rPr>
        <w:t>Développer, mettre à jour régulièrement, diffuser et défendre les recommandations nationales GIMB ;</w:t>
      </w:r>
    </w:p>
    <w:p w:rsidR="00D7458B" w:rsidRPr="00D7458B" w:rsidRDefault="00D7458B" w:rsidP="00D7458B">
      <w:pPr>
        <w:pStyle w:val="ListParagraph"/>
        <w:numPr>
          <w:ilvl w:val="1"/>
          <w:numId w:val="12"/>
        </w:numPr>
        <w:spacing w:before="0"/>
        <w:rPr>
          <w:sz w:val="24"/>
          <w:szCs w:val="24"/>
        </w:rPr>
      </w:pPr>
      <w:r w:rsidRPr="00D7458B">
        <w:rPr>
          <w:sz w:val="24"/>
          <w:szCs w:val="24"/>
        </w:rPr>
        <w:t>Assurer la communication régulière des messages nationaux GIMB</w:t>
      </w:r>
      <w:r>
        <w:rPr>
          <w:sz w:val="24"/>
          <w:szCs w:val="24"/>
        </w:rPr>
        <w:t> ;</w:t>
      </w:r>
    </w:p>
    <w:p w:rsidR="00D7458B" w:rsidRPr="00D7458B" w:rsidRDefault="00D7458B" w:rsidP="00D7458B">
      <w:pPr>
        <w:pStyle w:val="ListParagraph"/>
        <w:numPr>
          <w:ilvl w:val="1"/>
          <w:numId w:val="12"/>
        </w:numPr>
        <w:spacing w:before="0"/>
        <w:rPr>
          <w:sz w:val="24"/>
          <w:szCs w:val="24"/>
        </w:rPr>
      </w:pPr>
      <w:r w:rsidRPr="00D7458B">
        <w:rPr>
          <w:sz w:val="24"/>
          <w:szCs w:val="24"/>
        </w:rPr>
        <w:t>Renforcer le poids du label GIMB via une redéfinition des critères et un renforcement du soutien, du suivi et de la visibilité des actions labélisées GIMB ;</w:t>
      </w:r>
    </w:p>
    <w:p w:rsidR="00D7458B" w:rsidRDefault="00D7458B" w:rsidP="00D7458B">
      <w:pPr>
        <w:pStyle w:val="ListParagraph"/>
        <w:numPr>
          <w:ilvl w:val="1"/>
          <w:numId w:val="12"/>
        </w:numPr>
        <w:spacing w:before="0"/>
        <w:rPr>
          <w:sz w:val="24"/>
          <w:szCs w:val="24"/>
        </w:rPr>
      </w:pPr>
      <w:r w:rsidRPr="00D7458B">
        <w:rPr>
          <w:sz w:val="24"/>
          <w:szCs w:val="24"/>
        </w:rPr>
        <w:t>Créer un site internet national dédié aux thématiques GIMB</w:t>
      </w:r>
      <w:r>
        <w:rPr>
          <w:sz w:val="24"/>
          <w:szCs w:val="24"/>
        </w:rPr>
        <w:t>.</w:t>
      </w:r>
    </w:p>
    <w:p w:rsidR="00A00985" w:rsidRDefault="00A00985" w:rsidP="00A00985">
      <w:pPr>
        <w:rPr>
          <w:sz w:val="24"/>
          <w:szCs w:val="24"/>
        </w:rPr>
      </w:pPr>
      <w:bookmarkStart w:id="3" w:name="_Toc508211458"/>
      <w:r w:rsidRPr="002E4144">
        <w:rPr>
          <w:color w:val="548DD4" w:themeColor="text2" w:themeTint="99"/>
          <w:sz w:val="24"/>
          <w:szCs w:val="24"/>
          <w:u w:val="single"/>
        </w:rPr>
        <w:t>L’axe 4 « Mettre en place des mesures pour la consolidation et l’élargissement de GIMB</w:t>
      </w:r>
      <w:bookmarkEnd w:id="3"/>
      <w:r w:rsidRPr="002E4144">
        <w:rPr>
          <w:color w:val="548DD4" w:themeColor="text2" w:themeTint="99"/>
          <w:sz w:val="24"/>
          <w:szCs w:val="24"/>
          <w:u w:val="single"/>
        </w:rPr>
        <w:t> »</w:t>
      </w:r>
      <w:r w:rsidR="00DD6022">
        <w:rPr>
          <w:color w:val="548DD4" w:themeColor="text2" w:themeTint="99"/>
          <w:sz w:val="24"/>
          <w:szCs w:val="24"/>
          <w:u w:val="single"/>
        </w:rPr>
        <w:t>,</w:t>
      </w:r>
      <w:r w:rsidRPr="00A446C4">
        <w:rPr>
          <w:sz w:val="24"/>
          <w:szCs w:val="24"/>
        </w:rPr>
        <w:t xml:space="preserve"> </w:t>
      </w:r>
      <w:r w:rsidRPr="000F4DFA">
        <w:rPr>
          <w:sz w:val="24"/>
          <w:szCs w:val="24"/>
        </w:rPr>
        <w:t xml:space="preserve">a pour but de mettre en réseau et </w:t>
      </w:r>
      <w:r>
        <w:rPr>
          <w:sz w:val="24"/>
          <w:szCs w:val="24"/>
        </w:rPr>
        <w:t xml:space="preserve">de </w:t>
      </w:r>
      <w:r w:rsidRPr="000F4DFA">
        <w:rPr>
          <w:sz w:val="24"/>
          <w:szCs w:val="24"/>
        </w:rPr>
        <w:t xml:space="preserve">renforcer les collaborations avec les </w:t>
      </w:r>
      <w:r>
        <w:rPr>
          <w:sz w:val="24"/>
          <w:szCs w:val="24"/>
        </w:rPr>
        <w:t>acteurs de terrain</w:t>
      </w:r>
      <w:r w:rsidRPr="000F4DFA">
        <w:rPr>
          <w:sz w:val="24"/>
          <w:szCs w:val="24"/>
        </w:rPr>
        <w:t>.</w:t>
      </w:r>
    </w:p>
    <w:p w:rsidR="00D7458B" w:rsidRDefault="00B10E4E" w:rsidP="00D7458B">
      <w:pPr>
        <w:pStyle w:val="ListParagraph"/>
        <w:numPr>
          <w:ilvl w:val="0"/>
          <w:numId w:val="12"/>
        </w:numPr>
        <w:spacing w:before="0"/>
        <w:rPr>
          <w:sz w:val="24"/>
          <w:szCs w:val="24"/>
        </w:rPr>
      </w:pPr>
      <w:r>
        <w:rPr>
          <w:sz w:val="24"/>
          <w:szCs w:val="24"/>
          <w:u w:val="single"/>
        </w:rPr>
        <w:t>Extrait des</w:t>
      </w:r>
      <w:r w:rsidRPr="00AD73E0">
        <w:rPr>
          <w:sz w:val="24"/>
          <w:szCs w:val="24"/>
          <w:u w:val="single"/>
        </w:rPr>
        <w:t xml:space="preserve"> </w:t>
      </w:r>
      <w:r w:rsidRPr="00840C2B">
        <w:rPr>
          <w:sz w:val="24"/>
          <w:szCs w:val="24"/>
          <w:u w:val="single"/>
        </w:rPr>
        <w:t>activités</w:t>
      </w:r>
      <w:r>
        <w:rPr>
          <w:sz w:val="24"/>
          <w:szCs w:val="24"/>
        </w:rPr>
        <w:t> </w:t>
      </w:r>
      <w:r w:rsidR="00D7458B">
        <w:rPr>
          <w:sz w:val="24"/>
          <w:szCs w:val="24"/>
        </w:rPr>
        <w:t xml:space="preserve">: </w:t>
      </w:r>
    </w:p>
    <w:p w:rsidR="00D7458B" w:rsidRDefault="00D7458B" w:rsidP="00D7458B">
      <w:pPr>
        <w:pStyle w:val="ListParagraph"/>
        <w:numPr>
          <w:ilvl w:val="1"/>
          <w:numId w:val="12"/>
        </w:numPr>
        <w:spacing w:before="0"/>
        <w:rPr>
          <w:sz w:val="24"/>
          <w:szCs w:val="24"/>
        </w:rPr>
      </w:pPr>
      <w:r>
        <w:rPr>
          <w:sz w:val="24"/>
          <w:szCs w:val="24"/>
        </w:rPr>
        <w:t>Organis</w:t>
      </w:r>
      <w:r w:rsidR="00AF5643">
        <w:rPr>
          <w:sz w:val="24"/>
          <w:szCs w:val="24"/>
        </w:rPr>
        <w:t>er</w:t>
      </w:r>
      <w:r>
        <w:rPr>
          <w:sz w:val="24"/>
          <w:szCs w:val="24"/>
        </w:rPr>
        <w:t xml:space="preserve"> régulière</w:t>
      </w:r>
      <w:r w:rsidR="00AF5643">
        <w:rPr>
          <w:sz w:val="24"/>
          <w:szCs w:val="24"/>
        </w:rPr>
        <w:t>ment</w:t>
      </w:r>
      <w:r>
        <w:rPr>
          <w:sz w:val="24"/>
          <w:szCs w:val="24"/>
        </w:rPr>
        <w:t xml:space="preserve"> de</w:t>
      </w:r>
      <w:r w:rsidR="00AF5643">
        <w:rPr>
          <w:sz w:val="24"/>
          <w:szCs w:val="24"/>
        </w:rPr>
        <w:t>s</w:t>
      </w:r>
      <w:r>
        <w:rPr>
          <w:sz w:val="24"/>
          <w:szCs w:val="24"/>
        </w:rPr>
        <w:t xml:space="preserve"> journée</w:t>
      </w:r>
      <w:r w:rsidR="00871C6A">
        <w:rPr>
          <w:sz w:val="24"/>
          <w:szCs w:val="24"/>
        </w:rPr>
        <w:t>s</w:t>
      </w:r>
      <w:r>
        <w:rPr>
          <w:sz w:val="24"/>
          <w:szCs w:val="24"/>
        </w:rPr>
        <w:t xml:space="preserve"> d’échange de bonnes pratiques </w:t>
      </w:r>
      <w:r w:rsidR="00703256" w:rsidRPr="00703256">
        <w:rPr>
          <w:sz w:val="24"/>
          <w:szCs w:val="24"/>
        </w:rPr>
        <w:t>entre les acteurs organisant des activités labélisées</w:t>
      </w:r>
      <w:r w:rsidR="00703256">
        <w:rPr>
          <w:sz w:val="24"/>
          <w:szCs w:val="24"/>
        </w:rPr>
        <w:t> </w:t>
      </w:r>
      <w:r>
        <w:rPr>
          <w:sz w:val="24"/>
          <w:szCs w:val="24"/>
        </w:rPr>
        <w:t xml:space="preserve">; </w:t>
      </w:r>
    </w:p>
    <w:p w:rsidR="00D7458B" w:rsidRDefault="00D7458B" w:rsidP="00D7458B">
      <w:pPr>
        <w:pStyle w:val="ListParagraph"/>
        <w:numPr>
          <w:ilvl w:val="1"/>
          <w:numId w:val="12"/>
        </w:numPr>
        <w:spacing w:before="0"/>
        <w:rPr>
          <w:sz w:val="24"/>
          <w:szCs w:val="24"/>
        </w:rPr>
      </w:pPr>
      <w:r>
        <w:rPr>
          <w:sz w:val="24"/>
          <w:szCs w:val="24"/>
        </w:rPr>
        <w:lastRenderedPageBreak/>
        <w:t>Assurer et promouvoir la mise en réseau des acteurs de terrain afin de permettre</w:t>
      </w:r>
      <w:r w:rsidRPr="00537A09">
        <w:rPr>
          <w:sz w:val="24"/>
          <w:szCs w:val="24"/>
        </w:rPr>
        <w:t xml:space="preserve"> d’améliorer la coordination des efforts nationaux</w:t>
      </w:r>
      <w:r w:rsidR="00EA08A6">
        <w:rPr>
          <w:sz w:val="24"/>
          <w:szCs w:val="24"/>
        </w:rPr>
        <w:t xml:space="preserve"> en faveur de GIMB ;</w:t>
      </w:r>
    </w:p>
    <w:p w:rsidR="00EA08A6" w:rsidRPr="00EA08A6" w:rsidRDefault="00EA08A6" w:rsidP="00EA08A6">
      <w:pPr>
        <w:pStyle w:val="ListParagraph"/>
        <w:numPr>
          <w:ilvl w:val="1"/>
          <w:numId w:val="12"/>
        </w:numPr>
        <w:spacing w:before="0"/>
        <w:rPr>
          <w:sz w:val="24"/>
          <w:szCs w:val="24"/>
        </w:rPr>
      </w:pPr>
      <w:r w:rsidRPr="00D7458B">
        <w:rPr>
          <w:sz w:val="24"/>
          <w:szCs w:val="24"/>
        </w:rPr>
        <w:t xml:space="preserve">Favoriser l’échange de bonnes pratiques </w:t>
      </w:r>
      <w:r>
        <w:rPr>
          <w:sz w:val="24"/>
          <w:szCs w:val="24"/>
        </w:rPr>
        <w:t xml:space="preserve">également </w:t>
      </w:r>
      <w:r w:rsidRPr="00D7458B">
        <w:rPr>
          <w:sz w:val="24"/>
          <w:szCs w:val="24"/>
        </w:rPr>
        <w:t>au n</w:t>
      </w:r>
      <w:r>
        <w:rPr>
          <w:sz w:val="24"/>
          <w:szCs w:val="24"/>
        </w:rPr>
        <w:t>iveau européen et international.</w:t>
      </w:r>
    </w:p>
    <w:p w:rsidR="00A00985" w:rsidRDefault="00A00985" w:rsidP="00A00985">
      <w:pPr>
        <w:rPr>
          <w:sz w:val="24"/>
          <w:szCs w:val="24"/>
        </w:rPr>
      </w:pPr>
      <w:bookmarkStart w:id="4" w:name="_Toc508211460"/>
      <w:r w:rsidRPr="002E4144">
        <w:rPr>
          <w:color w:val="548DD4" w:themeColor="text2" w:themeTint="99"/>
          <w:sz w:val="24"/>
          <w:szCs w:val="24"/>
          <w:u w:val="single"/>
        </w:rPr>
        <w:t xml:space="preserve">L’axe 5 « Accroitre l’accessibilité du programme </w:t>
      </w:r>
      <w:r w:rsidRPr="00DD6022">
        <w:rPr>
          <w:color w:val="548DD4" w:themeColor="text2" w:themeTint="99"/>
          <w:sz w:val="24"/>
          <w:szCs w:val="24"/>
          <w:u w:val="single"/>
        </w:rPr>
        <w:t>GIMB</w:t>
      </w:r>
      <w:bookmarkEnd w:id="4"/>
      <w:r w:rsidRPr="00DD6022">
        <w:rPr>
          <w:color w:val="548DD4" w:themeColor="text2" w:themeTint="99"/>
          <w:sz w:val="24"/>
          <w:szCs w:val="24"/>
          <w:u w:val="single"/>
        </w:rPr>
        <w:t> »</w:t>
      </w:r>
      <w:r w:rsidR="00DD6022">
        <w:rPr>
          <w:color w:val="548DD4" w:themeColor="text2" w:themeTint="99"/>
          <w:sz w:val="24"/>
          <w:szCs w:val="24"/>
        </w:rPr>
        <w:t>,</w:t>
      </w:r>
      <w:r w:rsidRPr="002E4144">
        <w:rPr>
          <w:color w:val="548DD4" w:themeColor="text2" w:themeTint="99"/>
          <w:sz w:val="24"/>
          <w:szCs w:val="24"/>
        </w:rPr>
        <w:t xml:space="preserve"> </w:t>
      </w:r>
      <w:r>
        <w:rPr>
          <w:sz w:val="24"/>
          <w:szCs w:val="24"/>
        </w:rPr>
        <w:t>vise</w:t>
      </w:r>
      <w:r w:rsidRPr="000F4DFA">
        <w:rPr>
          <w:sz w:val="24"/>
          <w:szCs w:val="24"/>
        </w:rPr>
        <w:t xml:space="preserve"> à améliorer l’accessibilité du programme GIMB aux adultes, aux personnes âgées</w:t>
      </w:r>
      <w:r w:rsidR="00D7458B">
        <w:rPr>
          <w:sz w:val="24"/>
          <w:szCs w:val="24"/>
        </w:rPr>
        <w:t xml:space="preserve"> et aux populations vulnérables</w:t>
      </w:r>
    </w:p>
    <w:p w:rsidR="00D7458B" w:rsidRDefault="00B10E4E" w:rsidP="00D7458B">
      <w:pPr>
        <w:pStyle w:val="ListParagraph"/>
        <w:numPr>
          <w:ilvl w:val="0"/>
          <w:numId w:val="12"/>
        </w:numPr>
        <w:spacing w:before="0"/>
        <w:rPr>
          <w:sz w:val="24"/>
          <w:szCs w:val="24"/>
        </w:rPr>
      </w:pPr>
      <w:r>
        <w:rPr>
          <w:sz w:val="24"/>
          <w:szCs w:val="24"/>
          <w:u w:val="single"/>
        </w:rPr>
        <w:t>Extrait des</w:t>
      </w:r>
      <w:r w:rsidRPr="00AD73E0">
        <w:rPr>
          <w:sz w:val="24"/>
          <w:szCs w:val="24"/>
          <w:u w:val="single"/>
        </w:rPr>
        <w:t xml:space="preserve"> </w:t>
      </w:r>
      <w:r w:rsidRPr="00840C2B">
        <w:rPr>
          <w:sz w:val="24"/>
          <w:szCs w:val="24"/>
          <w:u w:val="single"/>
        </w:rPr>
        <w:t>activités</w:t>
      </w:r>
      <w:r>
        <w:rPr>
          <w:sz w:val="24"/>
          <w:szCs w:val="24"/>
        </w:rPr>
        <w:t> </w:t>
      </w:r>
      <w:r w:rsidR="00D7458B">
        <w:rPr>
          <w:sz w:val="24"/>
          <w:szCs w:val="24"/>
        </w:rPr>
        <w:t xml:space="preserve">: </w:t>
      </w:r>
    </w:p>
    <w:p w:rsidR="00D7458B" w:rsidRDefault="00D7458B" w:rsidP="00D7458B">
      <w:pPr>
        <w:pStyle w:val="ListParagraph"/>
        <w:numPr>
          <w:ilvl w:val="1"/>
          <w:numId w:val="12"/>
        </w:numPr>
        <w:spacing w:before="0"/>
        <w:rPr>
          <w:sz w:val="24"/>
          <w:szCs w:val="24"/>
        </w:rPr>
      </w:pPr>
      <w:r w:rsidRPr="00D7458B">
        <w:rPr>
          <w:sz w:val="24"/>
          <w:szCs w:val="24"/>
        </w:rPr>
        <w:t>Mettre en place et favoriser la mise en place d’actions spécifiques destinées aux adultes</w:t>
      </w:r>
      <w:r>
        <w:rPr>
          <w:sz w:val="24"/>
          <w:szCs w:val="24"/>
        </w:rPr>
        <w:t xml:space="preserve">, </w:t>
      </w:r>
      <w:r w:rsidRPr="00D7458B">
        <w:rPr>
          <w:sz w:val="24"/>
          <w:szCs w:val="24"/>
        </w:rPr>
        <w:t>personnes âgées</w:t>
      </w:r>
      <w:r>
        <w:rPr>
          <w:sz w:val="24"/>
          <w:szCs w:val="24"/>
        </w:rPr>
        <w:t xml:space="preserve"> et aux personnes vulnérables ; </w:t>
      </w:r>
    </w:p>
    <w:p w:rsidR="00E23B5A" w:rsidRPr="00B24AA7" w:rsidRDefault="00B24AA7" w:rsidP="00B24AA7">
      <w:pPr>
        <w:pStyle w:val="ListParagraph"/>
        <w:numPr>
          <w:ilvl w:val="1"/>
          <w:numId w:val="12"/>
        </w:numPr>
        <w:spacing w:before="0"/>
        <w:rPr>
          <w:sz w:val="24"/>
          <w:szCs w:val="24"/>
        </w:rPr>
      </w:pPr>
      <w:r w:rsidRPr="00B24AA7">
        <w:rPr>
          <w:sz w:val="24"/>
          <w:szCs w:val="24"/>
        </w:rPr>
        <w:t>Collaborations avec les communes pour la mise en place d’actions spécifiques aux adultes sans emploi et aux personnes âgées</w:t>
      </w:r>
      <w:r>
        <w:rPr>
          <w:sz w:val="24"/>
          <w:szCs w:val="24"/>
        </w:rPr>
        <w:t> ;</w:t>
      </w:r>
    </w:p>
    <w:p w:rsidR="00E23B5A" w:rsidRPr="00B24AA7" w:rsidRDefault="00B24AA7" w:rsidP="00B24AA7">
      <w:pPr>
        <w:pStyle w:val="ListParagraph"/>
        <w:numPr>
          <w:ilvl w:val="1"/>
          <w:numId w:val="12"/>
        </w:numPr>
        <w:spacing w:before="0"/>
        <w:rPr>
          <w:sz w:val="24"/>
          <w:szCs w:val="24"/>
        </w:rPr>
      </w:pPr>
      <w:r w:rsidRPr="00B24AA7">
        <w:rPr>
          <w:sz w:val="24"/>
          <w:szCs w:val="24"/>
        </w:rPr>
        <w:t>Promouvoir l’activité physique comme vecteur d’inclusion sociale</w:t>
      </w:r>
      <w:r>
        <w:rPr>
          <w:sz w:val="24"/>
          <w:szCs w:val="24"/>
        </w:rPr>
        <w:t>.</w:t>
      </w:r>
    </w:p>
    <w:p w:rsidR="00A00985" w:rsidRPr="000F4DFA" w:rsidRDefault="00A00985" w:rsidP="00A00985">
      <w:pPr>
        <w:rPr>
          <w:sz w:val="24"/>
          <w:szCs w:val="24"/>
        </w:rPr>
      </w:pPr>
      <w:bookmarkStart w:id="5" w:name="_Toc508211463"/>
      <w:r w:rsidRPr="002E4144">
        <w:rPr>
          <w:color w:val="548DD4" w:themeColor="text2" w:themeTint="99"/>
          <w:sz w:val="24"/>
          <w:szCs w:val="24"/>
          <w:u w:val="single"/>
        </w:rPr>
        <w:t>L’axe 6 « Instaurer un système d’évaluation</w:t>
      </w:r>
      <w:bookmarkEnd w:id="5"/>
      <w:r w:rsidRPr="002E4144">
        <w:rPr>
          <w:color w:val="548DD4" w:themeColor="text2" w:themeTint="99"/>
          <w:sz w:val="24"/>
          <w:szCs w:val="24"/>
          <w:u w:val="single"/>
        </w:rPr>
        <w:t> »</w:t>
      </w:r>
      <w:r w:rsidR="00DD6022">
        <w:rPr>
          <w:color w:val="548DD4" w:themeColor="text2" w:themeTint="99"/>
          <w:sz w:val="24"/>
          <w:szCs w:val="24"/>
          <w:u w:val="single"/>
        </w:rPr>
        <w:t>,</w:t>
      </w:r>
      <w:r w:rsidRPr="002E4144">
        <w:rPr>
          <w:color w:val="548DD4" w:themeColor="text2" w:themeTint="99"/>
          <w:sz w:val="24"/>
          <w:szCs w:val="24"/>
        </w:rPr>
        <w:t xml:space="preserve"> </w:t>
      </w:r>
      <w:r w:rsidRPr="000F4DFA">
        <w:rPr>
          <w:sz w:val="24"/>
          <w:szCs w:val="24"/>
        </w:rPr>
        <w:t>a pour objectif de développer des indicateurs quantitatifs et qualitatifs de monitoring de la stratégie GIMB et de mettre en place une évaluation des processus et des résultats permettant d’adapter les actions GIMB tout au long du programme.</w:t>
      </w:r>
    </w:p>
    <w:p w:rsidR="00D7458B" w:rsidRDefault="00B10E4E" w:rsidP="00D7458B">
      <w:pPr>
        <w:pStyle w:val="ListParagraph"/>
        <w:numPr>
          <w:ilvl w:val="0"/>
          <w:numId w:val="12"/>
        </w:numPr>
        <w:spacing w:before="0"/>
        <w:rPr>
          <w:sz w:val="24"/>
          <w:szCs w:val="24"/>
        </w:rPr>
      </w:pPr>
      <w:r>
        <w:rPr>
          <w:sz w:val="24"/>
          <w:szCs w:val="24"/>
          <w:u w:val="single"/>
        </w:rPr>
        <w:t>Extrait des</w:t>
      </w:r>
      <w:r w:rsidRPr="00AD73E0">
        <w:rPr>
          <w:sz w:val="24"/>
          <w:szCs w:val="24"/>
          <w:u w:val="single"/>
        </w:rPr>
        <w:t xml:space="preserve"> </w:t>
      </w:r>
      <w:r w:rsidRPr="00840C2B">
        <w:rPr>
          <w:sz w:val="24"/>
          <w:szCs w:val="24"/>
          <w:u w:val="single"/>
        </w:rPr>
        <w:t>activités</w:t>
      </w:r>
      <w:r>
        <w:rPr>
          <w:sz w:val="24"/>
          <w:szCs w:val="24"/>
        </w:rPr>
        <w:t> </w:t>
      </w:r>
      <w:r w:rsidR="00D7458B">
        <w:rPr>
          <w:sz w:val="24"/>
          <w:szCs w:val="24"/>
        </w:rPr>
        <w:t xml:space="preserve">: </w:t>
      </w:r>
    </w:p>
    <w:p w:rsidR="000E6820" w:rsidRDefault="00D7458B" w:rsidP="00D7458B">
      <w:pPr>
        <w:pStyle w:val="ListParagraph"/>
        <w:numPr>
          <w:ilvl w:val="1"/>
          <w:numId w:val="12"/>
        </w:numPr>
        <w:spacing w:before="0"/>
        <w:rPr>
          <w:sz w:val="24"/>
          <w:szCs w:val="24"/>
        </w:rPr>
      </w:pPr>
      <w:r w:rsidRPr="00D7458B">
        <w:rPr>
          <w:sz w:val="24"/>
          <w:szCs w:val="24"/>
        </w:rPr>
        <w:t>Réalis</w:t>
      </w:r>
      <w:r w:rsidR="00871C6A">
        <w:rPr>
          <w:sz w:val="24"/>
          <w:szCs w:val="24"/>
        </w:rPr>
        <w:t xml:space="preserve">er </w:t>
      </w:r>
      <w:r w:rsidRPr="00D7458B">
        <w:rPr>
          <w:sz w:val="24"/>
          <w:szCs w:val="24"/>
        </w:rPr>
        <w:t>une évaluation régulière de l’atteinte des objectifs fixé</w:t>
      </w:r>
      <w:r w:rsidR="00CB6181">
        <w:rPr>
          <w:sz w:val="24"/>
          <w:szCs w:val="24"/>
        </w:rPr>
        <w:t>s</w:t>
      </w:r>
      <w:r w:rsidR="00B24AA7">
        <w:rPr>
          <w:sz w:val="24"/>
          <w:szCs w:val="24"/>
        </w:rPr>
        <w:t xml:space="preserve"> par le plan ; </w:t>
      </w:r>
    </w:p>
    <w:p w:rsidR="00B24AA7" w:rsidRPr="00B24AA7" w:rsidRDefault="00B24AA7" w:rsidP="00B24AA7">
      <w:pPr>
        <w:pStyle w:val="ListParagraph"/>
        <w:numPr>
          <w:ilvl w:val="1"/>
          <w:numId w:val="12"/>
        </w:numPr>
        <w:spacing w:before="0"/>
        <w:rPr>
          <w:sz w:val="24"/>
          <w:szCs w:val="24"/>
        </w:rPr>
      </w:pPr>
      <w:r>
        <w:rPr>
          <w:sz w:val="24"/>
          <w:szCs w:val="24"/>
        </w:rPr>
        <w:t>Mettre en place une évaluation externe</w:t>
      </w:r>
      <w:r w:rsidRPr="00B24AA7">
        <w:rPr>
          <w:rFonts w:eastAsiaTheme="minorEastAsia" w:hAnsi="Corbel"/>
          <w:color w:val="404040" w:themeColor="text1" w:themeTint="BF"/>
          <w:kern w:val="24"/>
          <w:sz w:val="40"/>
          <w:szCs w:val="40"/>
          <w:lang w:eastAsia="fr-LU"/>
        </w:rPr>
        <w:t xml:space="preserve"> </w:t>
      </w:r>
      <w:r w:rsidRPr="00B24AA7">
        <w:rPr>
          <w:sz w:val="24"/>
          <w:szCs w:val="24"/>
        </w:rPr>
        <w:t xml:space="preserve">intermédiaire (2022) et finale (2025). </w:t>
      </w:r>
    </w:p>
    <w:p w:rsidR="000E6820" w:rsidRPr="000E6820" w:rsidRDefault="000E6820" w:rsidP="000E6820"/>
    <w:sectPr w:rsidR="000E6820" w:rsidRPr="000E6820" w:rsidSect="000E6820">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20" w:rsidRDefault="000E6820" w:rsidP="000E6820">
      <w:pPr>
        <w:spacing w:before="0" w:after="0" w:line="240" w:lineRule="auto"/>
      </w:pPr>
      <w:r>
        <w:separator/>
      </w:r>
    </w:p>
  </w:endnote>
  <w:endnote w:type="continuationSeparator" w:id="0">
    <w:p w:rsidR="000E6820" w:rsidRDefault="000E6820" w:rsidP="000E68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48579"/>
      <w:docPartObj>
        <w:docPartGallery w:val="Page Numbers (Bottom of Page)"/>
        <w:docPartUnique/>
      </w:docPartObj>
    </w:sdtPr>
    <w:sdtEndPr>
      <w:rPr>
        <w:noProof/>
      </w:rPr>
    </w:sdtEndPr>
    <w:sdtContent>
      <w:p w:rsidR="000E6820" w:rsidRDefault="000E6820">
        <w:pPr>
          <w:pStyle w:val="Footer"/>
          <w:jc w:val="center"/>
        </w:pPr>
        <w:r>
          <w:fldChar w:fldCharType="begin"/>
        </w:r>
        <w:r>
          <w:instrText xml:space="preserve"> PAGE   \* MERGEFORMAT </w:instrText>
        </w:r>
        <w:r>
          <w:fldChar w:fldCharType="separate"/>
        </w:r>
        <w:r w:rsidR="00F62A57">
          <w:rPr>
            <w:noProof/>
          </w:rPr>
          <w:t>5</w:t>
        </w:r>
        <w:r>
          <w:rPr>
            <w:noProof/>
          </w:rPr>
          <w:fldChar w:fldCharType="end"/>
        </w:r>
      </w:p>
    </w:sdtContent>
  </w:sdt>
  <w:p w:rsidR="000E6820" w:rsidRDefault="000E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20" w:rsidRDefault="000E6820" w:rsidP="000E6820">
      <w:pPr>
        <w:spacing w:before="0" w:after="0" w:line="240" w:lineRule="auto"/>
      </w:pPr>
      <w:r>
        <w:separator/>
      </w:r>
    </w:p>
  </w:footnote>
  <w:footnote w:type="continuationSeparator" w:id="0">
    <w:p w:rsidR="000E6820" w:rsidRDefault="000E6820" w:rsidP="000E68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FEB"/>
    <w:multiLevelType w:val="multilevel"/>
    <w:tmpl w:val="A6720C2C"/>
    <w:lvl w:ilvl="0">
      <w:start w:val="1"/>
      <w:numFmt w:val="decimal"/>
      <w:pStyle w:val="Heading1"/>
      <w:lvlText w:val="%1"/>
      <w:lvlJc w:val="right"/>
      <w:pPr>
        <w:ind w:left="360" w:hanging="360"/>
      </w:pPr>
      <w:rPr>
        <w:rFonts w:ascii="Cambria" w:hAnsi="Cambria" w:hint="default"/>
        <w:b/>
        <w:i w:val="0"/>
        <w:color w:val="365F91" w:themeColor="accent1" w:themeShade="BF"/>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EB5AEF"/>
    <w:multiLevelType w:val="hybridMultilevel"/>
    <w:tmpl w:val="B12A2CEE"/>
    <w:lvl w:ilvl="0" w:tplc="2E389B70">
      <w:start w:val="1"/>
      <w:numFmt w:val="bullet"/>
      <w:lvlText w:val=""/>
      <w:lvlJc w:val="left"/>
      <w:pPr>
        <w:tabs>
          <w:tab w:val="num" w:pos="720"/>
        </w:tabs>
        <w:ind w:left="720" w:hanging="360"/>
      </w:pPr>
      <w:rPr>
        <w:rFonts w:ascii="Wingdings 2" w:hAnsi="Wingdings 2" w:hint="default"/>
      </w:rPr>
    </w:lvl>
    <w:lvl w:ilvl="1" w:tplc="B3429DD4" w:tentative="1">
      <w:start w:val="1"/>
      <w:numFmt w:val="bullet"/>
      <w:lvlText w:val=""/>
      <w:lvlJc w:val="left"/>
      <w:pPr>
        <w:tabs>
          <w:tab w:val="num" w:pos="1440"/>
        </w:tabs>
        <w:ind w:left="1440" w:hanging="360"/>
      </w:pPr>
      <w:rPr>
        <w:rFonts w:ascii="Wingdings 2" w:hAnsi="Wingdings 2" w:hint="default"/>
      </w:rPr>
    </w:lvl>
    <w:lvl w:ilvl="2" w:tplc="43BE2200" w:tentative="1">
      <w:start w:val="1"/>
      <w:numFmt w:val="bullet"/>
      <w:lvlText w:val=""/>
      <w:lvlJc w:val="left"/>
      <w:pPr>
        <w:tabs>
          <w:tab w:val="num" w:pos="2160"/>
        </w:tabs>
        <w:ind w:left="2160" w:hanging="360"/>
      </w:pPr>
      <w:rPr>
        <w:rFonts w:ascii="Wingdings 2" w:hAnsi="Wingdings 2" w:hint="default"/>
      </w:rPr>
    </w:lvl>
    <w:lvl w:ilvl="3" w:tplc="B4EAFC4C" w:tentative="1">
      <w:start w:val="1"/>
      <w:numFmt w:val="bullet"/>
      <w:lvlText w:val=""/>
      <w:lvlJc w:val="left"/>
      <w:pPr>
        <w:tabs>
          <w:tab w:val="num" w:pos="2880"/>
        </w:tabs>
        <w:ind w:left="2880" w:hanging="360"/>
      </w:pPr>
      <w:rPr>
        <w:rFonts w:ascii="Wingdings 2" w:hAnsi="Wingdings 2" w:hint="default"/>
      </w:rPr>
    </w:lvl>
    <w:lvl w:ilvl="4" w:tplc="A404DE8A" w:tentative="1">
      <w:start w:val="1"/>
      <w:numFmt w:val="bullet"/>
      <w:lvlText w:val=""/>
      <w:lvlJc w:val="left"/>
      <w:pPr>
        <w:tabs>
          <w:tab w:val="num" w:pos="3600"/>
        </w:tabs>
        <w:ind w:left="3600" w:hanging="360"/>
      </w:pPr>
      <w:rPr>
        <w:rFonts w:ascii="Wingdings 2" w:hAnsi="Wingdings 2" w:hint="default"/>
      </w:rPr>
    </w:lvl>
    <w:lvl w:ilvl="5" w:tplc="E4C6FF82" w:tentative="1">
      <w:start w:val="1"/>
      <w:numFmt w:val="bullet"/>
      <w:lvlText w:val=""/>
      <w:lvlJc w:val="left"/>
      <w:pPr>
        <w:tabs>
          <w:tab w:val="num" w:pos="4320"/>
        </w:tabs>
        <w:ind w:left="4320" w:hanging="360"/>
      </w:pPr>
      <w:rPr>
        <w:rFonts w:ascii="Wingdings 2" w:hAnsi="Wingdings 2" w:hint="default"/>
      </w:rPr>
    </w:lvl>
    <w:lvl w:ilvl="6" w:tplc="A3046EA8" w:tentative="1">
      <w:start w:val="1"/>
      <w:numFmt w:val="bullet"/>
      <w:lvlText w:val=""/>
      <w:lvlJc w:val="left"/>
      <w:pPr>
        <w:tabs>
          <w:tab w:val="num" w:pos="5040"/>
        </w:tabs>
        <w:ind w:left="5040" w:hanging="360"/>
      </w:pPr>
      <w:rPr>
        <w:rFonts w:ascii="Wingdings 2" w:hAnsi="Wingdings 2" w:hint="default"/>
      </w:rPr>
    </w:lvl>
    <w:lvl w:ilvl="7" w:tplc="A9689DC6" w:tentative="1">
      <w:start w:val="1"/>
      <w:numFmt w:val="bullet"/>
      <w:lvlText w:val=""/>
      <w:lvlJc w:val="left"/>
      <w:pPr>
        <w:tabs>
          <w:tab w:val="num" w:pos="5760"/>
        </w:tabs>
        <w:ind w:left="5760" w:hanging="360"/>
      </w:pPr>
      <w:rPr>
        <w:rFonts w:ascii="Wingdings 2" w:hAnsi="Wingdings 2" w:hint="default"/>
      </w:rPr>
    </w:lvl>
    <w:lvl w:ilvl="8" w:tplc="1FB0130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D55442C"/>
    <w:multiLevelType w:val="hybridMultilevel"/>
    <w:tmpl w:val="92B48732"/>
    <w:lvl w:ilvl="0" w:tplc="2D6838E2">
      <w:start w:val="1"/>
      <w:numFmt w:val="decimal"/>
      <w:lvlText w:val="%1"/>
      <w:lvlJc w:val="right"/>
      <w:pPr>
        <w:ind w:left="1080" w:hanging="360"/>
      </w:pPr>
      <w:rPr>
        <w:rFonts w:ascii="Cambria" w:hAnsi="Cambria" w:hint="default"/>
        <w:b/>
        <w:i w:val="0"/>
        <w:color w:val="365F91" w:themeColor="accent1" w:themeShade="BF"/>
        <w:sz w:val="36"/>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15:restartNumberingAfterBreak="0">
    <w:nsid w:val="2E693BEE"/>
    <w:multiLevelType w:val="hybridMultilevel"/>
    <w:tmpl w:val="5F188E1C"/>
    <w:lvl w:ilvl="0" w:tplc="DCF2B1BA">
      <w:numFmt w:val="bullet"/>
      <w:lvlText w:val="-"/>
      <w:lvlJc w:val="left"/>
      <w:pPr>
        <w:ind w:left="720" w:hanging="360"/>
      </w:pPr>
      <w:rPr>
        <w:rFonts w:ascii="Calibri" w:eastAsiaTheme="minorHAnsi" w:hAnsi="Calibri" w:cstheme="minorBid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3141704"/>
    <w:multiLevelType w:val="hybridMultilevel"/>
    <w:tmpl w:val="610A4306"/>
    <w:lvl w:ilvl="0" w:tplc="B22016C4">
      <w:start w:val="1"/>
      <w:numFmt w:val="bullet"/>
      <w:lvlText w:val=""/>
      <w:lvlJc w:val="left"/>
      <w:pPr>
        <w:tabs>
          <w:tab w:val="num" w:pos="720"/>
        </w:tabs>
        <w:ind w:left="720" w:hanging="360"/>
      </w:pPr>
      <w:rPr>
        <w:rFonts w:ascii="Wingdings 2" w:hAnsi="Wingdings 2" w:hint="default"/>
      </w:rPr>
    </w:lvl>
    <w:lvl w:ilvl="1" w:tplc="A09E72DA" w:tentative="1">
      <w:start w:val="1"/>
      <w:numFmt w:val="bullet"/>
      <w:lvlText w:val=""/>
      <w:lvlJc w:val="left"/>
      <w:pPr>
        <w:tabs>
          <w:tab w:val="num" w:pos="1440"/>
        </w:tabs>
        <w:ind w:left="1440" w:hanging="360"/>
      </w:pPr>
      <w:rPr>
        <w:rFonts w:ascii="Wingdings 2" w:hAnsi="Wingdings 2" w:hint="default"/>
      </w:rPr>
    </w:lvl>
    <w:lvl w:ilvl="2" w:tplc="7C2872B0" w:tentative="1">
      <w:start w:val="1"/>
      <w:numFmt w:val="bullet"/>
      <w:lvlText w:val=""/>
      <w:lvlJc w:val="left"/>
      <w:pPr>
        <w:tabs>
          <w:tab w:val="num" w:pos="2160"/>
        </w:tabs>
        <w:ind w:left="2160" w:hanging="360"/>
      </w:pPr>
      <w:rPr>
        <w:rFonts w:ascii="Wingdings 2" w:hAnsi="Wingdings 2" w:hint="default"/>
      </w:rPr>
    </w:lvl>
    <w:lvl w:ilvl="3" w:tplc="25687BCE" w:tentative="1">
      <w:start w:val="1"/>
      <w:numFmt w:val="bullet"/>
      <w:lvlText w:val=""/>
      <w:lvlJc w:val="left"/>
      <w:pPr>
        <w:tabs>
          <w:tab w:val="num" w:pos="2880"/>
        </w:tabs>
        <w:ind w:left="2880" w:hanging="360"/>
      </w:pPr>
      <w:rPr>
        <w:rFonts w:ascii="Wingdings 2" w:hAnsi="Wingdings 2" w:hint="default"/>
      </w:rPr>
    </w:lvl>
    <w:lvl w:ilvl="4" w:tplc="07F8F7F0" w:tentative="1">
      <w:start w:val="1"/>
      <w:numFmt w:val="bullet"/>
      <w:lvlText w:val=""/>
      <w:lvlJc w:val="left"/>
      <w:pPr>
        <w:tabs>
          <w:tab w:val="num" w:pos="3600"/>
        </w:tabs>
        <w:ind w:left="3600" w:hanging="360"/>
      </w:pPr>
      <w:rPr>
        <w:rFonts w:ascii="Wingdings 2" w:hAnsi="Wingdings 2" w:hint="default"/>
      </w:rPr>
    </w:lvl>
    <w:lvl w:ilvl="5" w:tplc="46F45246" w:tentative="1">
      <w:start w:val="1"/>
      <w:numFmt w:val="bullet"/>
      <w:lvlText w:val=""/>
      <w:lvlJc w:val="left"/>
      <w:pPr>
        <w:tabs>
          <w:tab w:val="num" w:pos="4320"/>
        </w:tabs>
        <w:ind w:left="4320" w:hanging="360"/>
      </w:pPr>
      <w:rPr>
        <w:rFonts w:ascii="Wingdings 2" w:hAnsi="Wingdings 2" w:hint="default"/>
      </w:rPr>
    </w:lvl>
    <w:lvl w:ilvl="6" w:tplc="B25E75BE" w:tentative="1">
      <w:start w:val="1"/>
      <w:numFmt w:val="bullet"/>
      <w:lvlText w:val=""/>
      <w:lvlJc w:val="left"/>
      <w:pPr>
        <w:tabs>
          <w:tab w:val="num" w:pos="5040"/>
        </w:tabs>
        <w:ind w:left="5040" w:hanging="360"/>
      </w:pPr>
      <w:rPr>
        <w:rFonts w:ascii="Wingdings 2" w:hAnsi="Wingdings 2" w:hint="default"/>
      </w:rPr>
    </w:lvl>
    <w:lvl w:ilvl="7" w:tplc="7A0A3C18" w:tentative="1">
      <w:start w:val="1"/>
      <w:numFmt w:val="bullet"/>
      <w:lvlText w:val=""/>
      <w:lvlJc w:val="left"/>
      <w:pPr>
        <w:tabs>
          <w:tab w:val="num" w:pos="5760"/>
        </w:tabs>
        <w:ind w:left="5760" w:hanging="360"/>
      </w:pPr>
      <w:rPr>
        <w:rFonts w:ascii="Wingdings 2" w:hAnsi="Wingdings 2" w:hint="default"/>
      </w:rPr>
    </w:lvl>
    <w:lvl w:ilvl="8" w:tplc="CE1698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751340A"/>
    <w:multiLevelType w:val="hybridMultilevel"/>
    <w:tmpl w:val="45124A90"/>
    <w:lvl w:ilvl="0" w:tplc="BBEA98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A6710"/>
    <w:multiLevelType w:val="hybridMultilevel"/>
    <w:tmpl w:val="5C8CD912"/>
    <w:lvl w:ilvl="0" w:tplc="39CE165E">
      <w:start w:val="1"/>
      <w:numFmt w:val="decimal"/>
      <w:lvlText w:val="%1.1.1"/>
      <w:lvlJc w:val="right"/>
      <w:pPr>
        <w:ind w:left="720" w:hanging="360"/>
      </w:pPr>
      <w:rPr>
        <w:rFonts w:ascii="Cambria" w:hAnsi="Cambria" w:hint="default"/>
        <w:b/>
        <w:i w:val="0"/>
        <w:color w:val="365F91" w:themeColor="accent1" w:themeShade="BF"/>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D595B8C"/>
    <w:multiLevelType w:val="hybridMultilevel"/>
    <w:tmpl w:val="C2AAABD2"/>
    <w:lvl w:ilvl="0" w:tplc="23365172">
      <w:start w:val="1"/>
      <w:numFmt w:val="bullet"/>
      <w:lvlText w:val=""/>
      <w:lvlJc w:val="left"/>
      <w:pPr>
        <w:tabs>
          <w:tab w:val="num" w:pos="720"/>
        </w:tabs>
        <w:ind w:left="720" w:hanging="360"/>
      </w:pPr>
      <w:rPr>
        <w:rFonts w:ascii="Wingdings 2" w:hAnsi="Wingdings 2" w:hint="default"/>
      </w:rPr>
    </w:lvl>
    <w:lvl w:ilvl="1" w:tplc="EE76C650" w:tentative="1">
      <w:start w:val="1"/>
      <w:numFmt w:val="bullet"/>
      <w:lvlText w:val=""/>
      <w:lvlJc w:val="left"/>
      <w:pPr>
        <w:tabs>
          <w:tab w:val="num" w:pos="1440"/>
        </w:tabs>
        <w:ind w:left="1440" w:hanging="360"/>
      </w:pPr>
      <w:rPr>
        <w:rFonts w:ascii="Wingdings 2" w:hAnsi="Wingdings 2" w:hint="default"/>
      </w:rPr>
    </w:lvl>
    <w:lvl w:ilvl="2" w:tplc="607CE5AE">
      <w:start w:val="1"/>
      <w:numFmt w:val="bullet"/>
      <w:lvlText w:val=""/>
      <w:lvlJc w:val="left"/>
      <w:pPr>
        <w:tabs>
          <w:tab w:val="num" w:pos="2160"/>
        </w:tabs>
        <w:ind w:left="2160" w:hanging="360"/>
      </w:pPr>
      <w:rPr>
        <w:rFonts w:ascii="Wingdings 2" w:hAnsi="Wingdings 2" w:hint="default"/>
      </w:rPr>
    </w:lvl>
    <w:lvl w:ilvl="3" w:tplc="E230CDCE" w:tentative="1">
      <w:start w:val="1"/>
      <w:numFmt w:val="bullet"/>
      <w:lvlText w:val=""/>
      <w:lvlJc w:val="left"/>
      <w:pPr>
        <w:tabs>
          <w:tab w:val="num" w:pos="2880"/>
        </w:tabs>
        <w:ind w:left="2880" w:hanging="360"/>
      </w:pPr>
      <w:rPr>
        <w:rFonts w:ascii="Wingdings 2" w:hAnsi="Wingdings 2" w:hint="default"/>
      </w:rPr>
    </w:lvl>
    <w:lvl w:ilvl="4" w:tplc="DF8A3C7A" w:tentative="1">
      <w:start w:val="1"/>
      <w:numFmt w:val="bullet"/>
      <w:lvlText w:val=""/>
      <w:lvlJc w:val="left"/>
      <w:pPr>
        <w:tabs>
          <w:tab w:val="num" w:pos="3600"/>
        </w:tabs>
        <w:ind w:left="3600" w:hanging="360"/>
      </w:pPr>
      <w:rPr>
        <w:rFonts w:ascii="Wingdings 2" w:hAnsi="Wingdings 2" w:hint="default"/>
      </w:rPr>
    </w:lvl>
    <w:lvl w:ilvl="5" w:tplc="7E2499F4" w:tentative="1">
      <w:start w:val="1"/>
      <w:numFmt w:val="bullet"/>
      <w:lvlText w:val=""/>
      <w:lvlJc w:val="left"/>
      <w:pPr>
        <w:tabs>
          <w:tab w:val="num" w:pos="4320"/>
        </w:tabs>
        <w:ind w:left="4320" w:hanging="360"/>
      </w:pPr>
      <w:rPr>
        <w:rFonts w:ascii="Wingdings 2" w:hAnsi="Wingdings 2" w:hint="default"/>
      </w:rPr>
    </w:lvl>
    <w:lvl w:ilvl="6" w:tplc="95066E7A" w:tentative="1">
      <w:start w:val="1"/>
      <w:numFmt w:val="bullet"/>
      <w:lvlText w:val=""/>
      <w:lvlJc w:val="left"/>
      <w:pPr>
        <w:tabs>
          <w:tab w:val="num" w:pos="5040"/>
        </w:tabs>
        <w:ind w:left="5040" w:hanging="360"/>
      </w:pPr>
      <w:rPr>
        <w:rFonts w:ascii="Wingdings 2" w:hAnsi="Wingdings 2" w:hint="default"/>
      </w:rPr>
    </w:lvl>
    <w:lvl w:ilvl="7" w:tplc="AE9AF9C0" w:tentative="1">
      <w:start w:val="1"/>
      <w:numFmt w:val="bullet"/>
      <w:lvlText w:val=""/>
      <w:lvlJc w:val="left"/>
      <w:pPr>
        <w:tabs>
          <w:tab w:val="num" w:pos="5760"/>
        </w:tabs>
        <w:ind w:left="5760" w:hanging="360"/>
      </w:pPr>
      <w:rPr>
        <w:rFonts w:ascii="Wingdings 2" w:hAnsi="Wingdings 2" w:hint="default"/>
      </w:rPr>
    </w:lvl>
    <w:lvl w:ilvl="8" w:tplc="DB5271A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AFD4759"/>
    <w:multiLevelType w:val="hybridMultilevel"/>
    <w:tmpl w:val="FC3AF516"/>
    <w:lvl w:ilvl="0" w:tplc="F5DA5CA0">
      <w:start w:val="1"/>
      <w:numFmt w:val="decimal"/>
      <w:lvlText w:val="%1.1"/>
      <w:lvlJc w:val="right"/>
      <w:pPr>
        <w:ind w:left="1440" w:hanging="360"/>
      </w:pPr>
      <w:rPr>
        <w:rFonts w:ascii="Cambria" w:hAnsi="Cambria" w:hint="default"/>
        <w:b/>
        <w:i w:val="0"/>
        <w:color w:val="365F91" w:themeColor="accent1" w:themeShade="BF"/>
        <w:sz w:val="28"/>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9" w15:restartNumberingAfterBreak="0">
    <w:nsid w:val="72C06ED3"/>
    <w:multiLevelType w:val="hybridMultilevel"/>
    <w:tmpl w:val="D7928AD0"/>
    <w:lvl w:ilvl="0" w:tplc="B07E7F62">
      <w:start w:val="1"/>
      <w:numFmt w:val="bullet"/>
      <w:lvlText w:val=""/>
      <w:lvlJc w:val="left"/>
      <w:pPr>
        <w:tabs>
          <w:tab w:val="num" w:pos="720"/>
        </w:tabs>
        <w:ind w:left="720" w:hanging="360"/>
      </w:pPr>
      <w:rPr>
        <w:rFonts w:ascii="Wingdings 2" w:hAnsi="Wingdings 2" w:hint="default"/>
      </w:rPr>
    </w:lvl>
    <w:lvl w:ilvl="1" w:tplc="3B966F98" w:tentative="1">
      <w:start w:val="1"/>
      <w:numFmt w:val="bullet"/>
      <w:lvlText w:val=""/>
      <w:lvlJc w:val="left"/>
      <w:pPr>
        <w:tabs>
          <w:tab w:val="num" w:pos="1440"/>
        </w:tabs>
        <w:ind w:left="1440" w:hanging="360"/>
      </w:pPr>
      <w:rPr>
        <w:rFonts w:ascii="Wingdings 2" w:hAnsi="Wingdings 2" w:hint="default"/>
      </w:rPr>
    </w:lvl>
    <w:lvl w:ilvl="2" w:tplc="829E76D2" w:tentative="1">
      <w:start w:val="1"/>
      <w:numFmt w:val="bullet"/>
      <w:lvlText w:val=""/>
      <w:lvlJc w:val="left"/>
      <w:pPr>
        <w:tabs>
          <w:tab w:val="num" w:pos="2160"/>
        </w:tabs>
        <w:ind w:left="2160" w:hanging="360"/>
      </w:pPr>
      <w:rPr>
        <w:rFonts w:ascii="Wingdings 2" w:hAnsi="Wingdings 2" w:hint="default"/>
      </w:rPr>
    </w:lvl>
    <w:lvl w:ilvl="3" w:tplc="BDEC7BAC" w:tentative="1">
      <w:start w:val="1"/>
      <w:numFmt w:val="bullet"/>
      <w:lvlText w:val=""/>
      <w:lvlJc w:val="left"/>
      <w:pPr>
        <w:tabs>
          <w:tab w:val="num" w:pos="2880"/>
        </w:tabs>
        <w:ind w:left="2880" w:hanging="360"/>
      </w:pPr>
      <w:rPr>
        <w:rFonts w:ascii="Wingdings 2" w:hAnsi="Wingdings 2" w:hint="default"/>
      </w:rPr>
    </w:lvl>
    <w:lvl w:ilvl="4" w:tplc="02F60E10" w:tentative="1">
      <w:start w:val="1"/>
      <w:numFmt w:val="bullet"/>
      <w:lvlText w:val=""/>
      <w:lvlJc w:val="left"/>
      <w:pPr>
        <w:tabs>
          <w:tab w:val="num" w:pos="3600"/>
        </w:tabs>
        <w:ind w:left="3600" w:hanging="360"/>
      </w:pPr>
      <w:rPr>
        <w:rFonts w:ascii="Wingdings 2" w:hAnsi="Wingdings 2" w:hint="default"/>
      </w:rPr>
    </w:lvl>
    <w:lvl w:ilvl="5" w:tplc="BBBEE9DE" w:tentative="1">
      <w:start w:val="1"/>
      <w:numFmt w:val="bullet"/>
      <w:lvlText w:val=""/>
      <w:lvlJc w:val="left"/>
      <w:pPr>
        <w:tabs>
          <w:tab w:val="num" w:pos="4320"/>
        </w:tabs>
        <w:ind w:left="4320" w:hanging="360"/>
      </w:pPr>
      <w:rPr>
        <w:rFonts w:ascii="Wingdings 2" w:hAnsi="Wingdings 2" w:hint="default"/>
      </w:rPr>
    </w:lvl>
    <w:lvl w:ilvl="6" w:tplc="B1A462E8" w:tentative="1">
      <w:start w:val="1"/>
      <w:numFmt w:val="bullet"/>
      <w:lvlText w:val=""/>
      <w:lvlJc w:val="left"/>
      <w:pPr>
        <w:tabs>
          <w:tab w:val="num" w:pos="5040"/>
        </w:tabs>
        <w:ind w:left="5040" w:hanging="360"/>
      </w:pPr>
      <w:rPr>
        <w:rFonts w:ascii="Wingdings 2" w:hAnsi="Wingdings 2" w:hint="default"/>
      </w:rPr>
    </w:lvl>
    <w:lvl w:ilvl="7" w:tplc="F71ED7FA" w:tentative="1">
      <w:start w:val="1"/>
      <w:numFmt w:val="bullet"/>
      <w:lvlText w:val=""/>
      <w:lvlJc w:val="left"/>
      <w:pPr>
        <w:tabs>
          <w:tab w:val="num" w:pos="5760"/>
        </w:tabs>
        <w:ind w:left="5760" w:hanging="360"/>
      </w:pPr>
      <w:rPr>
        <w:rFonts w:ascii="Wingdings 2" w:hAnsi="Wingdings 2" w:hint="default"/>
      </w:rPr>
    </w:lvl>
    <w:lvl w:ilvl="8" w:tplc="295AB67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C1875BC"/>
    <w:multiLevelType w:val="hybridMultilevel"/>
    <w:tmpl w:val="FCAE2686"/>
    <w:lvl w:ilvl="0" w:tplc="9ECC94C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2"/>
  </w:num>
  <w:num w:numId="6">
    <w:abstractNumId w:val="2"/>
  </w:num>
  <w:num w:numId="7">
    <w:abstractNumId w:val="8"/>
  </w:num>
  <w:num w:numId="8">
    <w:abstractNumId w:val="6"/>
  </w:num>
  <w:num w:numId="9">
    <w:abstractNumId w:val="0"/>
  </w:num>
  <w:num w:numId="10">
    <w:abstractNumId w:val="0"/>
  </w:num>
  <w:num w:numId="11">
    <w:abstractNumId w:val="0"/>
  </w:num>
  <w:num w:numId="12">
    <w:abstractNumId w:val="3"/>
  </w:num>
  <w:num w:numId="13">
    <w:abstractNumId w:val="1"/>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89"/>
    <w:rsid w:val="000E6820"/>
    <w:rsid w:val="00117313"/>
    <w:rsid w:val="00290817"/>
    <w:rsid w:val="002E3481"/>
    <w:rsid w:val="002E4144"/>
    <w:rsid w:val="0032323E"/>
    <w:rsid w:val="00352767"/>
    <w:rsid w:val="00374380"/>
    <w:rsid w:val="003F2111"/>
    <w:rsid w:val="004029E5"/>
    <w:rsid w:val="00410817"/>
    <w:rsid w:val="005643E2"/>
    <w:rsid w:val="005A5CCD"/>
    <w:rsid w:val="005B39AF"/>
    <w:rsid w:val="006940B2"/>
    <w:rsid w:val="006A0AED"/>
    <w:rsid w:val="00703256"/>
    <w:rsid w:val="00840C2B"/>
    <w:rsid w:val="00857FAD"/>
    <w:rsid w:val="00871C6A"/>
    <w:rsid w:val="008807B0"/>
    <w:rsid w:val="009006AE"/>
    <w:rsid w:val="009433E5"/>
    <w:rsid w:val="00945717"/>
    <w:rsid w:val="00A00985"/>
    <w:rsid w:val="00A6465F"/>
    <w:rsid w:val="00AC52B0"/>
    <w:rsid w:val="00AD73E0"/>
    <w:rsid w:val="00AD7D23"/>
    <w:rsid w:val="00AE4C14"/>
    <w:rsid w:val="00AF5643"/>
    <w:rsid w:val="00B10E4E"/>
    <w:rsid w:val="00B24AA7"/>
    <w:rsid w:val="00B82BD8"/>
    <w:rsid w:val="00BC4C26"/>
    <w:rsid w:val="00C74175"/>
    <w:rsid w:val="00C81D52"/>
    <w:rsid w:val="00C91ABE"/>
    <w:rsid w:val="00CB6181"/>
    <w:rsid w:val="00D02B89"/>
    <w:rsid w:val="00D7458B"/>
    <w:rsid w:val="00DD6022"/>
    <w:rsid w:val="00E23B5A"/>
    <w:rsid w:val="00EA08A6"/>
    <w:rsid w:val="00F62A57"/>
    <w:rsid w:val="00F64E2A"/>
    <w:rsid w:val="00F9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8406"/>
  <w15:chartTrackingRefBased/>
  <w15:docId w15:val="{9E866948-A3BD-4587-BB57-D14C141F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20"/>
    <w:pPr>
      <w:spacing w:before="240" w:after="320" w:line="360" w:lineRule="auto"/>
      <w:jc w:val="both"/>
    </w:pPr>
    <w:rPr>
      <w:lang w:val="fr-LU"/>
    </w:rPr>
  </w:style>
  <w:style w:type="paragraph" w:styleId="Heading1">
    <w:name w:val="heading 1"/>
    <w:basedOn w:val="Normal"/>
    <w:next w:val="Normal"/>
    <w:link w:val="Heading1Char"/>
    <w:autoRedefine/>
    <w:uiPriority w:val="9"/>
    <w:qFormat/>
    <w:rsid w:val="004029E5"/>
    <w:pPr>
      <w:keepNext/>
      <w:keepLines/>
      <w:numPr>
        <w:numId w:val="10"/>
      </w:numPr>
      <w:spacing w:after="0"/>
      <w:outlineLvl w:val="0"/>
    </w:pPr>
    <w:rPr>
      <w:rFonts w:asciiTheme="majorHAnsi" w:eastAsiaTheme="majorEastAsia" w:hAnsiTheme="majorHAnsi" w:cstheme="majorBidi"/>
      <w:b/>
      <w:bCs/>
      <w:caps/>
      <w:color w:val="365F91" w:themeColor="accent1" w:themeShade="BF"/>
      <w:sz w:val="36"/>
      <w:szCs w:val="28"/>
    </w:rPr>
  </w:style>
  <w:style w:type="paragraph" w:styleId="Heading2">
    <w:name w:val="heading 2"/>
    <w:basedOn w:val="Heading1"/>
    <w:next w:val="Normal"/>
    <w:link w:val="Heading2Char"/>
    <w:autoRedefine/>
    <w:uiPriority w:val="9"/>
    <w:unhideWhenUsed/>
    <w:qFormat/>
    <w:rsid w:val="004029E5"/>
    <w:pPr>
      <w:numPr>
        <w:ilvl w:val="1"/>
        <w:numId w:val="11"/>
      </w:numPr>
      <w:spacing w:line="240" w:lineRule="auto"/>
      <w:outlineLvl w:val="1"/>
    </w:pPr>
    <w:rPr>
      <w:b w:val="0"/>
      <w:bCs w:val="0"/>
      <w:sz w:val="28"/>
      <w:szCs w:val="26"/>
    </w:rPr>
  </w:style>
  <w:style w:type="paragraph" w:styleId="Heading3">
    <w:name w:val="heading 3"/>
    <w:basedOn w:val="Normal"/>
    <w:next w:val="Normal"/>
    <w:link w:val="Heading3Char"/>
    <w:autoRedefine/>
    <w:uiPriority w:val="9"/>
    <w:unhideWhenUsed/>
    <w:qFormat/>
    <w:rsid w:val="004029E5"/>
    <w:pPr>
      <w:keepNext/>
      <w:keepLines/>
      <w:numPr>
        <w:ilvl w:val="2"/>
        <w:numId w:val="11"/>
      </w:numPr>
      <w:spacing w:before="120" w:after="120" w:line="240" w:lineRule="auto"/>
      <w:outlineLvl w:val="2"/>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E5"/>
    <w:rPr>
      <w:rFonts w:asciiTheme="majorHAnsi" w:eastAsiaTheme="majorEastAsia" w:hAnsiTheme="majorHAnsi" w:cstheme="majorBidi"/>
      <w:b/>
      <w:bCs/>
      <w:caps/>
      <w:color w:val="365F91" w:themeColor="accent1" w:themeShade="BF"/>
      <w:sz w:val="36"/>
      <w:szCs w:val="28"/>
      <w:lang w:val="fr-LU"/>
    </w:rPr>
  </w:style>
  <w:style w:type="character" w:customStyle="1" w:styleId="Heading2Char">
    <w:name w:val="Heading 2 Char"/>
    <w:basedOn w:val="DefaultParagraphFont"/>
    <w:link w:val="Heading2"/>
    <w:uiPriority w:val="9"/>
    <w:rsid w:val="004029E5"/>
    <w:rPr>
      <w:rFonts w:asciiTheme="majorHAnsi" w:eastAsiaTheme="majorEastAsia" w:hAnsiTheme="majorHAnsi" w:cstheme="majorBidi"/>
      <w:caps/>
      <w:color w:val="365F91" w:themeColor="accent1" w:themeShade="BF"/>
      <w:sz w:val="28"/>
      <w:szCs w:val="26"/>
      <w:lang w:val="fr-LU"/>
    </w:rPr>
  </w:style>
  <w:style w:type="character" w:customStyle="1" w:styleId="Heading3Char">
    <w:name w:val="Heading 3 Char"/>
    <w:basedOn w:val="DefaultParagraphFont"/>
    <w:link w:val="Heading3"/>
    <w:uiPriority w:val="9"/>
    <w:rsid w:val="004029E5"/>
    <w:rPr>
      <w:rFonts w:asciiTheme="majorHAnsi" w:eastAsiaTheme="majorEastAsia" w:hAnsiTheme="majorHAnsi" w:cstheme="majorBidi"/>
      <w:bCs/>
      <w:color w:val="365F91" w:themeColor="accent1" w:themeShade="BF"/>
    </w:rPr>
  </w:style>
  <w:style w:type="paragraph" w:styleId="NoSpacing">
    <w:name w:val="No Spacing"/>
    <w:link w:val="NoSpacingChar"/>
    <w:autoRedefine/>
    <w:uiPriority w:val="1"/>
    <w:qFormat/>
    <w:rsid w:val="000E6820"/>
    <w:pPr>
      <w:spacing w:after="0" w:line="240" w:lineRule="auto"/>
      <w:jc w:val="center"/>
    </w:pPr>
    <w:rPr>
      <w:rFonts w:asciiTheme="majorHAnsi" w:eastAsiaTheme="minorEastAsia" w:hAnsiTheme="majorHAnsi"/>
      <w:b/>
      <w:lang w:val="fr-LU" w:eastAsia="ja-JP"/>
    </w:rPr>
  </w:style>
  <w:style w:type="character" w:customStyle="1" w:styleId="NoSpacingChar">
    <w:name w:val="No Spacing Char"/>
    <w:basedOn w:val="DefaultParagraphFont"/>
    <w:link w:val="NoSpacing"/>
    <w:uiPriority w:val="1"/>
    <w:rsid w:val="000E6820"/>
    <w:rPr>
      <w:rFonts w:asciiTheme="majorHAnsi" w:eastAsiaTheme="minorEastAsia" w:hAnsiTheme="majorHAnsi"/>
      <w:b/>
      <w:lang w:val="fr-LU" w:eastAsia="ja-JP"/>
    </w:rPr>
  </w:style>
  <w:style w:type="paragraph" w:styleId="Title">
    <w:name w:val="Title"/>
    <w:basedOn w:val="Normal"/>
    <w:next w:val="Normal"/>
    <w:link w:val="TitleChar"/>
    <w:uiPriority w:val="10"/>
    <w:qFormat/>
    <w:rsid w:val="000E682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820"/>
    <w:rPr>
      <w:rFonts w:asciiTheme="majorHAnsi" w:eastAsiaTheme="majorEastAsia" w:hAnsiTheme="majorHAnsi" w:cstheme="majorBidi"/>
      <w:color w:val="17365D" w:themeColor="text2" w:themeShade="BF"/>
      <w:spacing w:val="5"/>
      <w:kern w:val="28"/>
      <w:sz w:val="52"/>
      <w:szCs w:val="52"/>
      <w:lang w:val="fr-LU"/>
    </w:rPr>
  </w:style>
  <w:style w:type="paragraph" w:styleId="Header">
    <w:name w:val="header"/>
    <w:basedOn w:val="Normal"/>
    <w:link w:val="HeaderChar"/>
    <w:uiPriority w:val="99"/>
    <w:unhideWhenUsed/>
    <w:rsid w:val="000E6820"/>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E6820"/>
    <w:rPr>
      <w:lang w:val="fr-LU"/>
    </w:rPr>
  </w:style>
  <w:style w:type="paragraph" w:styleId="Footer">
    <w:name w:val="footer"/>
    <w:basedOn w:val="Normal"/>
    <w:link w:val="FooterChar"/>
    <w:uiPriority w:val="99"/>
    <w:unhideWhenUsed/>
    <w:rsid w:val="000E6820"/>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E6820"/>
    <w:rPr>
      <w:lang w:val="fr-LU"/>
    </w:rPr>
  </w:style>
  <w:style w:type="paragraph" w:styleId="FootnoteText">
    <w:name w:val="footnote text"/>
    <w:basedOn w:val="Normal"/>
    <w:link w:val="FootnoteTextChar"/>
    <w:uiPriority w:val="99"/>
    <w:semiHidden/>
    <w:unhideWhenUsed/>
    <w:rsid w:val="00A00985"/>
    <w:pPr>
      <w:spacing w:before="0" w:after="0" w:line="240" w:lineRule="auto"/>
    </w:pPr>
    <w:rPr>
      <w:rFonts w:ascii="Cambria" w:hAnsi="Cambria"/>
      <w:sz w:val="20"/>
      <w:szCs w:val="20"/>
      <w:lang w:val="en-US"/>
    </w:rPr>
  </w:style>
  <w:style w:type="character" w:customStyle="1" w:styleId="FootnoteTextChar">
    <w:name w:val="Footnote Text Char"/>
    <w:basedOn w:val="DefaultParagraphFont"/>
    <w:link w:val="FootnoteText"/>
    <w:uiPriority w:val="99"/>
    <w:semiHidden/>
    <w:rsid w:val="00A00985"/>
    <w:rPr>
      <w:rFonts w:ascii="Cambria" w:hAnsi="Cambria"/>
      <w:sz w:val="20"/>
      <w:szCs w:val="20"/>
    </w:rPr>
  </w:style>
  <w:style w:type="character" w:styleId="FootnoteReference">
    <w:name w:val="footnote reference"/>
    <w:basedOn w:val="DefaultParagraphFont"/>
    <w:uiPriority w:val="99"/>
    <w:semiHidden/>
    <w:unhideWhenUsed/>
    <w:rsid w:val="00A00985"/>
    <w:rPr>
      <w:vertAlign w:val="superscript"/>
    </w:rPr>
  </w:style>
  <w:style w:type="paragraph" w:styleId="ListParagraph">
    <w:name w:val="List Paragraph"/>
    <w:basedOn w:val="Normal"/>
    <w:uiPriority w:val="34"/>
    <w:qFormat/>
    <w:rsid w:val="0029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5108">
      <w:bodyDiv w:val="1"/>
      <w:marLeft w:val="0"/>
      <w:marRight w:val="0"/>
      <w:marTop w:val="0"/>
      <w:marBottom w:val="0"/>
      <w:divBdr>
        <w:top w:val="none" w:sz="0" w:space="0" w:color="auto"/>
        <w:left w:val="none" w:sz="0" w:space="0" w:color="auto"/>
        <w:bottom w:val="none" w:sz="0" w:space="0" w:color="auto"/>
        <w:right w:val="none" w:sz="0" w:space="0" w:color="auto"/>
      </w:divBdr>
      <w:divsChild>
        <w:div w:id="781149926">
          <w:marLeft w:val="360"/>
          <w:marRight w:val="0"/>
          <w:marTop w:val="200"/>
          <w:marBottom w:val="50"/>
          <w:divBdr>
            <w:top w:val="none" w:sz="0" w:space="0" w:color="auto"/>
            <w:left w:val="none" w:sz="0" w:space="0" w:color="auto"/>
            <w:bottom w:val="none" w:sz="0" w:space="0" w:color="auto"/>
            <w:right w:val="none" w:sz="0" w:space="0" w:color="auto"/>
          </w:divBdr>
        </w:div>
        <w:div w:id="159977315">
          <w:marLeft w:val="360"/>
          <w:marRight w:val="0"/>
          <w:marTop w:val="200"/>
          <w:marBottom w:val="50"/>
          <w:divBdr>
            <w:top w:val="none" w:sz="0" w:space="0" w:color="auto"/>
            <w:left w:val="none" w:sz="0" w:space="0" w:color="auto"/>
            <w:bottom w:val="none" w:sz="0" w:space="0" w:color="auto"/>
            <w:right w:val="none" w:sz="0" w:space="0" w:color="auto"/>
          </w:divBdr>
        </w:div>
        <w:div w:id="1511211784">
          <w:marLeft w:val="360"/>
          <w:marRight w:val="0"/>
          <w:marTop w:val="200"/>
          <w:marBottom w:val="50"/>
          <w:divBdr>
            <w:top w:val="none" w:sz="0" w:space="0" w:color="auto"/>
            <w:left w:val="none" w:sz="0" w:space="0" w:color="auto"/>
            <w:bottom w:val="none" w:sz="0" w:space="0" w:color="auto"/>
            <w:right w:val="none" w:sz="0" w:space="0" w:color="auto"/>
          </w:divBdr>
        </w:div>
      </w:divsChild>
    </w:div>
    <w:div w:id="909315862">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sChild>
        <w:div w:id="419645777">
          <w:marLeft w:val="288"/>
          <w:marRight w:val="0"/>
          <w:marTop w:val="240"/>
          <w:marBottom w:val="0"/>
          <w:divBdr>
            <w:top w:val="none" w:sz="0" w:space="0" w:color="auto"/>
            <w:left w:val="none" w:sz="0" w:space="0" w:color="auto"/>
            <w:bottom w:val="none" w:sz="0" w:space="0" w:color="auto"/>
            <w:right w:val="none" w:sz="0" w:space="0" w:color="auto"/>
          </w:divBdr>
        </w:div>
      </w:divsChild>
    </w:div>
    <w:div w:id="1656684571">
      <w:bodyDiv w:val="1"/>
      <w:marLeft w:val="0"/>
      <w:marRight w:val="0"/>
      <w:marTop w:val="0"/>
      <w:marBottom w:val="0"/>
      <w:divBdr>
        <w:top w:val="none" w:sz="0" w:space="0" w:color="auto"/>
        <w:left w:val="none" w:sz="0" w:space="0" w:color="auto"/>
        <w:bottom w:val="none" w:sz="0" w:space="0" w:color="auto"/>
        <w:right w:val="none" w:sz="0" w:space="0" w:color="auto"/>
      </w:divBdr>
    </w:div>
    <w:div w:id="1706754769">
      <w:bodyDiv w:val="1"/>
      <w:marLeft w:val="0"/>
      <w:marRight w:val="0"/>
      <w:marTop w:val="0"/>
      <w:marBottom w:val="0"/>
      <w:divBdr>
        <w:top w:val="none" w:sz="0" w:space="0" w:color="auto"/>
        <w:left w:val="none" w:sz="0" w:space="0" w:color="auto"/>
        <w:bottom w:val="none" w:sz="0" w:space="0" w:color="auto"/>
        <w:right w:val="none" w:sz="0" w:space="0" w:color="auto"/>
      </w:divBdr>
      <w:divsChild>
        <w:div w:id="825977993">
          <w:marLeft w:val="288"/>
          <w:marRight w:val="0"/>
          <w:marTop w:val="240"/>
          <w:marBottom w:val="0"/>
          <w:divBdr>
            <w:top w:val="none" w:sz="0" w:space="0" w:color="auto"/>
            <w:left w:val="none" w:sz="0" w:space="0" w:color="auto"/>
            <w:bottom w:val="none" w:sz="0" w:space="0" w:color="auto"/>
            <w:right w:val="none" w:sz="0" w:space="0" w:color="auto"/>
          </w:divBdr>
        </w:div>
      </w:divsChild>
    </w:div>
    <w:div w:id="1735856492">
      <w:bodyDiv w:val="1"/>
      <w:marLeft w:val="0"/>
      <w:marRight w:val="0"/>
      <w:marTop w:val="0"/>
      <w:marBottom w:val="0"/>
      <w:divBdr>
        <w:top w:val="none" w:sz="0" w:space="0" w:color="auto"/>
        <w:left w:val="none" w:sz="0" w:space="0" w:color="auto"/>
        <w:bottom w:val="none" w:sz="0" w:space="0" w:color="auto"/>
        <w:right w:val="none" w:sz="0" w:space="0" w:color="auto"/>
      </w:divBdr>
      <w:divsChild>
        <w:div w:id="167164307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3F203-E76D-4C91-B058-91C62A04E1E0}">
  <ds:schemaRefs>
    <ds:schemaRef ds:uri="http://schemas.openxmlformats.org/officeDocument/2006/bibliography"/>
  </ds:schemaRefs>
</ds:datastoreItem>
</file>

<file path=customXml/itemProps2.xml><?xml version="1.0" encoding="utf-8"?>
<ds:datastoreItem xmlns:ds="http://schemas.openxmlformats.org/officeDocument/2006/customXml" ds:itemID="{9143A6D9-D986-4C74-A37C-857695367E8A}"/>
</file>

<file path=customXml/itemProps3.xml><?xml version="1.0" encoding="utf-8"?>
<ds:datastoreItem xmlns:ds="http://schemas.openxmlformats.org/officeDocument/2006/customXml" ds:itemID="{03DA66CE-FF39-472B-9FD1-D8DCA52313AF}"/>
</file>

<file path=customXml/itemProps4.xml><?xml version="1.0" encoding="utf-8"?>
<ds:datastoreItem xmlns:ds="http://schemas.openxmlformats.org/officeDocument/2006/customXml" ds:itemID="{FDBCAB31-AFED-432A-94D7-F2966DA7EA55}"/>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Ministère de la Santé</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GUÉRIN Valérie</dc:creator>
  <cp:keywords/>
  <dc:description/>
  <cp:lastModifiedBy>GUÉRIN Valérie</cp:lastModifiedBy>
  <cp:revision>32</cp:revision>
  <dcterms:created xsi:type="dcterms:W3CDTF">2018-09-17T12:11:00Z</dcterms:created>
  <dcterms:modified xsi:type="dcterms:W3CDTF">2018-09-24T15:53:00Z</dcterms:modified>
</cp:coreProperties>
</file>