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77C5E" w14:textId="77777777" w:rsidR="006301B4" w:rsidRDefault="006301B4" w:rsidP="0B3BD5ED">
      <w:pPr>
        <w:pBdr>
          <w:top w:val="single" w:sz="4" w:space="1" w:color="auto"/>
          <w:left w:val="single" w:sz="4" w:space="4" w:color="auto"/>
          <w:bottom w:val="single" w:sz="4" w:space="1" w:color="auto"/>
          <w:right w:val="single" w:sz="4" w:space="4" w:color="auto"/>
        </w:pBdr>
        <w:shd w:val="clear" w:color="auto" w:fill="FFFFFF" w:themeFill="background1"/>
        <w:spacing w:before="240" w:after="240"/>
        <w:jc w:val="center"/>
        <w:rPr>
          <w:b/>
          <w:bCs/>
          <w:sz w:val="28"/>
          <w:szCs w:val="28"/>
        </w:rPr>
      </w:pPr>
      <w:bookmarkStart w:id="0" w:name="_Hlk178166879"/>
    </w:p>
    <w:p w14:paraId="21CBBCE8" w14:textId="18331588" w:rsidR="00011B3A" w:rsidRDefault="0B3BD5ED" w:rsidP="0B3BD5ED">
      <w:pPr>
        <w:pBdr>
          <w:top w:val="single" w:sz="4" w:space="1" w:color="auto"/>
          <w:left w:val="single" w:sz="4" w:space="4" w:color="auto"/>
          <w:bottom w:val="single" w:sz="4" w:space="1" w:color="auto"/>
          <w:right w:val="single" w:sz="4" w:space="4" w:color="auto"/>
        </w:pBdr>
        <w:shd w:val="clear" w:color="auto" w:fill="FFFFFF" w:themeFill="background1"/>
        <w:spacing w:before="240" w:after="240"/>
        <w:jc w:val="center"/>
        <w:rPr>
          <w:b/>
          <w:bCs/>
          <w:sz w:val="28"/>
          <w:szCs w:val="28"/>
        </w:rPr>
      </w:pPr>
      <w:r w:rsidRPr="0B3BD5ED">
        <w:rPr>
          <w:b/>
          <w:bCs/>
          <w:sz w:val="28"/>
          <w:szCs w:val="28"/>
        </w:rPr>
        <w:t xml:space="preserve">Plan d’action national d’inclusion numérique </w:t>
      </w:r>
    </w:p>
    <w:p w14:paraId="2EE7BBD1" w14:textId="1571CEE9" w:rsidR="00B975A5" w:rsidRDefault="00A50EC6" w:rsidP="00B975A5">
      <w:pPr>
        <w:pBdr>
          <w:top w:val="single" w:sz="4" w:space="1" w:color="auto"/>
          <w:left w:val="single" w:sz="4" w:space="4" w:color="auto"/>
          <w:bottom w:val="single" w:sz="4" w:space="1" w:color="auto"/>
          <w:right w:val="single" w:sz="4" w:space="4" w:color="auto"/>
        </w:pBdr>
        <w:shd w:val="clear" w:color="auto" w:fill="FFFFFF" w:themeFill="background1"/>
        <w:spacing w:before="240" w:after="240"/>
        <w:jc w:val="center"/>
        <w:rPr>
          <w:b/>
          <w:bCs/>
          <w:sz w:val="28"/>
          <w:szCs w:val="28"/>
        </w:rPr>
      </w:pPr>
      <w:r>
        <w:rPr>
          <w:b/>
          <w:bCs/>
          <w:sz w:val="28"/>
          <w:szCs w:val="28"/>
        </w:rPr>
        <w:t>Appel à Projets 202</w:t>
      </w:r>
      <w:r w:rsidR="000B4086">
        <w:rPr>
          <w:b/>
          <w:bCs/>
          <w:sz w:val="28"/>
          <w:szCs w:val="28"/>
        </w:rPr>
        <w:t>6</w:t>
      </w:r>
      <w:r w:rsidR="00CB1A0F">
        <w:rPr>
          <w:b/>
          <w:bCs/>
          <w:sz w:val="28"/>
          <w:szCs w:val="28"/>
        </w:rPr>
        <w:t xml:space="preserve"> </w:t>
      </w:r>
      <w:r w:rsidR="00B975A5">
        <w:rPr>
          <w:b/>
          <w:bCs/>
          <w:sz w:val="28"/>
          <w:szCs w:val="28"/>
        </w:rPr>
        <w:t>–</w:t>
      </w:r>
      <w:r w:rsidR="00CB1A0F">
        <w:rPr>
          <w:b/>
          <w:bCs/>
          <w:sz w:val="28"/>
          <w:szCs w:val="28"/>
        </w:rPr>
        <w:t xml:space="preserve"> 202</w:t>
      </w:r>
      <w:r w:rsidR="000B4086">
        <w:rPr>
          <w:b/>
          <w:bCs/>
          <w:sz w:val="28"/>
          <w:szCs w:val="28"/>
        </w:rPr>
        <w:t>7</w:t>
      </w:r>
    </w:p>
    <w:p w14:paraId="0543AAF1" w14:textId="77777777" w:rsidR="00B975A5" w:rsidRPr="005E4580" w:rsidRDefault="00B975A5" w:rsidP="00B975A5">
      <w:pPr>
        <w:pBdr>
          <w:top w:val="single" w:sz="4" w:space="1" w:color="auto"/>
          <w:left w:val="single" w:sz="4" w:space="4" w:color="auto"/>
          <w:bottom w:val="single" w:sz="4" w:space="1" w:color="auto"/>
          <w:right w:val="single" w:sz="4" w:space="4" w:color="auto"/>
        </w:pBdr>
        <w:shd w:val="clear" w:color="auto" w:fill="FFFFFF" w:themeFill="background1"/>
        <w:spacing w:before="240" w:after="240"/>
        <w:jc w:val="center"/>
        <w:rPr>
          <w:b/>
          <w:bCs/>
          <w:sz w:val="28"/>
          <w:szCs w:val="28"/>
        </w:rPr>
      </w:pPr>
    </w:p>
    <w:bookmarkEnd w:id="0"/>
    <w:p w14:paraId="0711B6D1" w14:textId="1DA0F423" w:rsidR="00B975A5" w:rsidRDefault="00B975A5" w:rsidP="00B975A5">
      <w:pPr>
        <w:jc w:val="both"/>
        <w:rPr>
          <w:b/>
          <w:bCs/>
        </w:rPr>
      </w:pPr>
    </w:p>
    <w:p w14:paraId="0749F198" w14:textId="77777777" w:rsidR="00B975A5" w:rsidRPr="00B975A5" w:rsidRDefault="00B975A5" w:rsidP="00B975A5">
      <w:pPr>
        <w:jc w:val="both"/>
        <w:rPr>
          <w:b/>
          <w:bCs/>
        </w:rPr>
      </w:pPr>
    </w:p>
    <w:p w14:paraId="2A9224AF" w14:textId="169C5A89" w:rsidR="00011B3A" w:rsidRPr="00D70681" w:rsidRDefault="0B3BD5ED" w:rsidP="0B3BD5ED">
      <w:pPr>
        <w:pStyle w:val="ListParagraph"/>
        <w:numPr>
          <w:ilvl w:val="0"/>
          <w:numId w:val="11"/>
        </w:numPr>
        <w:jc w:val="both"/>
        <w:rPr>
          <w:b/>
          <w:bCs/>
        </w:rPr>
      </w:pPr>
      <w:r w:rsidRPr="0B3BD5ED">
        <w:rPr>
          <w:b/>
          <w:bCs/>
        </w:rPr>
        <w:t>Introduction :</w:t>
      </w:r>
    </w:p>
    <w:p w14:paraId="22CC95C9" w14:textId="3C287BBD" w:rsidR="00D70681" w:rsidRDefault="00D70681" w:rsidP="00D70681">
      <w:pPr>
        <w:jc w:val="both"/>
      </w:pPr>
    </w:p>
    <w:p w14:paraId="3150A3F3" w14:textId="732E4D10" w:rsidR="00D70681" w:rsidRDefault="0B3BD5ED" w:rsidP="00D70681">
      <w:pPr>
        <w:jc w:val="both"/>
      </w:pPr>
      <w:r>
        <w:t>Dans le cadre du Plan d’action national d’inclusion numérique, le ministère de la Digitalisation lance un appel pour le financement de projets</w:t>
      </w:r>
      <w:r w:rsidR="00A50EC6">
        <w:t>-pilotes</w:t>
      </w:r>
      <w:r>
        <w:t xml:space="preserve"> favorisant l’inclusion numérique de tous les résidents du Grand-Duché de Luxembourg, ainsi que des travailleurs frontaliers.</w:t>
      </w:r>
    </w:p>
    <w:p w14:paraId="27CEE821" w14:textId="77777777" w:rsidR="00D70681" w:rsidRDefault="00D70681" w:rsidP="00D70681">
      <w:pPr>
        <w:jc w:val="both"/>
      </w:pPr>
    </w:p>
    <w:p w14:paraId="296E22CE" w14:textId="7DC8B98B" w:rsidR="00D70681" w:rsidRDefault="0B3BD5ED" w:rsidP="00D70681">
      <w:pPr>
        <w:jc w:val="both"/>
      </w:pPr>
      <w:r>
        <w:t xml:space="preserve">Sont éligibles les projets à partir d’un montant de </w:t>
      </w:r>
      <w:r w:rsidR="00595F5F">
        <w:t>5000</w:t>
      </w:r>
      <w:r>
        <w:t xml:space="preserve"> € par projet, sur une durée maximale de 12 mois, et ceci pendant la période de juillet 202</w:t>
      </w:r>
      <w:r w:rsidR="000B4086">
        <w:t>6</w:t>
      </w:r>
      <w:r>
        <w:t xml:space="preserve"> à juin 20</w:t>
      </w:r>
      <w:r w:rsidR="000B4086">
        <w:t>27</w:t>
      </w:r>
      <w:r>
        <w:t>.</w:t>
      </w:r>
    </w:p>
    <w:p w14:paraId="2C5E4F85" w14:textId="77777777" w:rsidR="00D70681" w:rsidRDefault="00D70681" w:rsidP="00D70681">
      <w:pPr>
        <w:jc w:val="both"/>
      </w:pPr>
    </w:p>
    <w:p w14:paraId="781FE2D7" w14:textId="3564C816" w:rsidR="00D70681" w:rsidRDefault="0B3BD5ED" w:rsidP="00D70681">
      <w:pPr>
        <w:jc w:val="both"/>
      </w:pPr>
      <w:r>
        <w:t>Pour des projets de plus petite envergure d’autres programmes de financement sont disponibles en dehors de cet appel à projets.</w:t>
      </w:r>
    </w:p>
    <w:p w14:paraId="11C6FE40" w14:textId="18A6BE59" w:rsidR="00D70681" w:rsidRDefault="00D70681" w:rsidP="00D70681">
      <w:pPr>
        <w:jc w:val="both"/>
      </w:pPr>
    </w:p>
    <w:p w14:paraId="4FE12875" w14:textId="73429E14" w:rsidR="00D70681" w:rsidRDefault="0B3BD5ED" w:rsidP="0B3BD5ED">
      <w:pPr>
        <w:pStyle w:val="ListParagraph"/>
        <w:numPr>
          <w:ilvl w:val="0"/>
          <w:numId w:val="11"/>
        </w:numPr>
        <w:jc w:val="both"/>
        <w:rPr>
          <w:b/>
          <w:bCs/>
        </w:rPr>
      </w:pPr>
      <w:r w:rsidRPr="0B3BD5ED">
        <w:rPr>
          <w:b/>
          <w:bCs/>
        </w:rPr>
        <w:t>Objet de l’appel</w:t>
      </w:r>
      <w:r w:rsidR="00D86A9C">
        <w:rPr>
          <w:b/>
          <w:bCs/>
        </w:rPr>
        <w:t> </w:t>
      </w:r>
      <w:r w:rsidRPr="0B3BD5ED">
        <w:rPr>
          <w:b/>
          <w:bCs/>
        </w:rPr>
        <w:t>:</w:t>
      </w:r>
    </w:p>
    <w:p w14:paraId="3D14BD58" w14:textId="77777777" w:rsidR="00595F5F" w:rsidRDefault="00595F5F" w:rsidP="00595F5F">
      <w:pPr>
        <w:jc w:val="both"/>
        <w:rPr>
          <w:b/>
          <w:bCs/>
        </w:rPr>
      </w:pPr>
    </w:p>
    <w:p w14:paraId="5991717E" w14:textId="10D38915" w:rsidR="00595F5F" w:rsidRDefault="00595F5F" w:rsidP="00595F5F">
      <w:pPr>
        <w:jc w:val="both"/>
      </w:pPr>
      <w:r w:rsidRPr="007555A4">
        <w:t>Le présent appel à projets s</w:t>
      </w:r>
      <w:r w:rsidR="00D86A9C">
        <w:t>’</w:t>
      </w:r>
      <w:r w:rsidRPr="007555A4">
        <w:t xml:space="preserve">inscrit dans les objectifs du plan d’action national pour l’inclusion numérique. Il se concentre sur </w:t>
      </w:r>
      <w:r w:rsidR="006C35B0">
        <w:t>une thématique centrale, l’accès au numérique</w:t>
      </w:r>
      <w:r w:rsidRPr="007555A4">
        <w:t>,</w:t>
      </w:r>
      <w:r w:rsidR="006C35B0">
        <w:t xml:space="preserve"> abordé à travers trois axes </w:t>
      </w:r>
      <w:r w:rsidRPr="007555A4">
        <w:t>prioritaire</w:t>
      </w:r>
      <w:r w:rsidR="006C35B0">
        <w:t>s</w:t>
      </w:r>
      <w:r w:rsidRPr="007555A4">
        <w:t xml:space="preserve"> </w:t>
      </w:r>
      <w:r w:rsidR="006C35B0">
        <w:t>qui en reflètent les différentes dimensions</w:t>
      </w:r>
      <w:r w:rsidR="00D86A9C">
        <w:t> </w:t>
      </w:r>
      <w:r w:rsidRPr="007555A4">
        <w:t>:</w:t>
      </w:r>
    </w:p>
    <w:p w14:paraId="2C42502A" w14:textId="77777777" w:rsidR="00595F5F" w:rsidRDefault="00595F5F" w:rsidP="00595F5F">
      <w:pPr>
        <w:jc w:val="both"/>
      </w:pPr>
    </w:p>
    <w:p w14:paraId="5F31004A" w14:textId="77777777" w:rsidR="00595F5F" w:rsidRDefault="00595F5F" w:rsidP="00595F5F">
      <w:pPr>
        <w:jc w:val="both"/>
      </w:pPr>
    </w:p>
    <w:p w14:paraId="12FFEB7C" w14:textId="77777777" w:rsidR="00595F5F" w:rsidRDefault="00595F5F" w:rsidP="00595F5F">
      <w:pPr>
        <w:jc w:val="both"/>
      </w:pPr>
    </w:p>
    <w:p w14:paraId="41D95619" w14:textId="77777777" w:rsidR="00595F5F" w:rsidRDefault="00595F5F" w:rsidP="00F1489A">
      <w:pPr>
        <w:jc w:val="both"/>
      </w:pPr>
    </w:p>
    <w:p w14:paraId="4FCD3567" w14:textId="77777777" w:rsidR="001260EC" w:rsidRDefault="001260EC" w:rsidP="00F1489A">
      <w:pPr>
        <w:jc w:val="both"/>
      </w:pPr>
    </w:p>
    <w:p w14:paraId="58F768B8" w14:textId="77777777" w:rsidR="001260EC" w:rsidRDefault="001260EC" w:rsidP="00F1489A">
      <w:pPr>
        <w:jc w:val="both"/>
      </w:pPr>
    </w:p>
    <w:p w14:paraId="13DE2421" w14:textId="77777777" w:rsidR="001260EC" w:rsidRDefault="001260EC" w:rsidP="00F1489A">
      <w:pPr>
        <w:jc w:val="both"/>
      </w:pPr>
    </w:p>
    <w:p w14:paraId="0393EC76" w14:textId="77777777" w:rsidR="001260EC" w:rsidRDefault="001260EC" w:rsidP="00F1489A">
      <w:pPr>
        <w:jc w:val="both"/>
      </w:pPr>
    </w:p>
    <w:p w14:paraId="0E8EB8F9" w14:textId="77777777" w:rsidR="001260EC" w:rsidRDefault="001260EC" w:rsidP="00F1489A">
      <w:pPr>
        <w:jc w:val="both"/>
      </w:pPr>
    </w:p>
    <w:p w14:paraId="7EE79825" w14:textId="77777777" w:rsidR="001260EC" w:rsidRDefault="001260EC" w:rsidP="00F1489A">
      <w:pPr>
        <w:jc w:val="both"/>
      </w:pPr>
    </w:p>
    <w:p w14:paraId="3830A716" w14:textId="77777777" w:rsidR="001260EC" w:rsidRDefault="001260EC" w:rsidP="00F1489A">
      <w:pPr>
        <w:jc w:val="both"/>
      </w:pPr>
    </w:p>
    <w:p w14:paraId="7700B8D1" w14:textId="77777777" w:rsidR="001260EC" w:rsidRDefault="001260EC" w:rsidP="00F1489A">
      <w:pPr>
        <w:jc w:val="both"/>
      </w:pPr>
    </w:p>
    <w:p w14:paraId="4C643575" w14:textId="77777777" w:rsidR="001260EC" w:rsidRDefault="001260EC" w:rsidP="00F1489A">
      <w:pPr>
        <w:jc w:val="both"/>
      </w:pPr>
    </w:p>
    <w:p w14:paraId="7A83A15C" w14:textId="77777777" w:rsidR="001260EC" w:rsidRDefault="001260EC" w:rsidP="00F1489A">
      <w:pPr>
        <w:jc w:val="both"/>
      </w:pPr>
    </w:p>
    <w:p w14:paraId="69EC90E4" w14:textId="77777777" w:rsidR="001260EC" w:rsidRDefault="001260EC" w:rsidP="00F1489A">
      <w:pPr>
        <w:jc w:val="both"/>
      </w:pPr>
    </w:p>
    <w:p w14:paraId="4E63F2AB" w14:textId="77777777" w:rsidR="001260EC" w:rsidRDefault="001260EC" w:rsidP="00F1489A">
      <w:pPr>
        <w:jc w:val="both"/>
      </w:pPr>
    </w:p>
    <w:p w14:paraId="110E3402" w14:textId="77777777" w:rsidR="001260EC" w:rsidRDefault="001260EC" w:rsidP="00F1489A">
      <w:pPr>
        <w:jc w:val="both"/>
      </w:pPr>
    </w:p>
    <w:p w14:paraId="0CC24940" w14:textId="77777777" w:rsidR="001260EC" w:rsidRDefault="001260EC" w:rsidP="00F1489A">
      <w:pPr>
        <w:jc w:val="both"/>
      </w:pPr>
    </w:p>
    <w:p w14:paraId="2E968E42" w14:textId="77777777" w:rsidR="001260EC" w:rsidRDefault="001260EC" w:rsidP="00F1489A">
      <w:pPr>
        <w:jc w:val="both"/>
      </w:pPr>
    </w:p>
    <w:p w14:paraId="7DF5DCB3" w14:textId="77777777" w:rsidR="001260EC" w:rsidRDefault="001260EC" w:rsidP="00F1489A">
      <w:pPr>
        <w:jc w:val="both"/>
      </w:pPr>
    </w:p>
    <w:p w14:paraId="6F7D4A5E" w14:textId="77777777" w:rsidR="001260EC" w:rsidRPr="00595F5F" w:rsidRDefault="001260EC" w:rsidP="00F1489A">
      <w:pPr>
        <w:jc w:val="both"/>
      </w:pPr>
    </w:p>
    <w:tbl>
      <w:tblPr>
        <w:tblStyle w:val="LightList-Accent51"/>
        <w:tblpPr w:leftFromText="180" w:rightFromText="180" w:vertAnchor="page" w:horzAnchor="margin" w:tblpY="4221"/>
        <w:tblW w:w="9387" w:type="dxa"/>
        <w:tblBorders>
          <w:insideH w:val="single" w:sz="8" w:space="0" w:color="5B9BD5" w:themeColor="accent5"/>
          <w:insideV w:val="single" w:sz="8" w:space="0" w:color="5B9BD5" w:themeColor="accent5"/>
        </w:tblBorders>
        <w:tblLook w:val="04A0" w:firstRow="1" w:lastRow="0" w:firstColumn="1" w:lastColumn="0" w:noHBand="0" w:noVBand="1"/>
      </w:tblPr>
      <w:tblGrid>
        <w:gridCol w:w="9387"/>
      </w:tblGrid>
      <w:tr w:rsidR="007B6B5C" w:rsidRPr="006A7AAD" w14:paraId="49FE2313" w14:textId="77777777" w:rsidTr="001260EC">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387" w:type="dxa"/>
          </w:tcPr>
          <w:p w14:paraId="34FF8781" w14:textId="77777777" w:rsidR="007B6B5C" w:rsidRPr="006A7AAD" w:rsidRDefault="007B6B5C" w:rsidP="001260EC">
            <w:pPr>
              <w:jc w:val="center"/>
              <w:rPr>
                <w:lang w:eastAsia="ar-SA"/>
              </w:rPr>
            </w:pPr>
            <w:r>
              <w:rPr>
                <w:lang w:eastAsia="ar-SA"/>
              </w:rPr>
              <w:t xml:space="preserve">Axe 1 : </w:t>
            </w:r>
            <w:r w:rsidRPr="00A9383A">
              <w:t xml:space="preserve"> </w:t>
            </w:r>
            <w:r w:rsidRPr="00195F2C">
              <w:t xml:space="preserve"> </w:t>
            </w:r>
            <w:r>
              <w:t>Accès matériel et connectivité numérique</w:t>
            </w:r>
          </w:p>
        </w:tc>
      </w:tr>
      <w:tr w:rsidR="007B6B5C" w:rsidRPr="004309CE" w14:paraId="2EECE7E2" w14:textId="77777777" w:rsidTr="001260EC">
        <w:trPr>
          <w:cnfStyle w:val="000000100000" w:firstRow="0" w:lastRow="0" w:firstColumn="0" w:lastColumn="0" w:oddVBand="0" w:evenVBand="0" w:oddHBand="1" w:evenHBand="0" w:firstRowFirstColumn="0" w:firstRowLastColumn="0" w:lastRowFirstColumn="0" w:lastRowLastColumn="0"/>
          <w:trHeight w:val="6857"/>
        </w:trPr>
        <w:tc>
          <w:tcPr>
            <w:cnfStyle w:val="001000000000" w:firstRow="0" w:lastRow="0" w:firstColumn="1" w:lastColumn="0" w:oddVBand="0" w:evenVBand="0" w:oddHBand="0" w:evenHBand="0" w:firstRowFirstColumn="0" w:firstRowLastColumn="0" w:lastRowFirstColumn="0" w:lastRowLastColumn="0"/>
            <w:tcW w:w="9387" w:type="dxa"/>
          </w:tcPr>
          <w:p w14:paraId="3594671F" w14:textId="77777777" w:rsidR="007B6B5C" w:rsidRDefault="007B6B5C" w:rsidP="001260EC">
            <w:pPr>
              <w:jc w:val="both"/>
              <w:rPr>
                <w:sz w:val="22"/>
                <w:szCs w:val="22"/>
              </w:rPr>
            </w:pPr>
          </w:p>
          <w:p w14:paraId="1944D439" w14:textId="77777777" w:rsidR="007B6B5C" w:rsidRDefault="007B6B5C" w:rsidP="001260EC">
            <w:pPr>
              <w:jc w:val="both"/>
              <w:rPr>
                <w:sz w:val="22"/>
                <w:szCs w:val="22"/>
              </w:rPr>
            </w:pPr>
            <w:r w:rsidRPr="006C35B0">
              <w:rPr>
                <w:b w:val="0"/>
                <w:bCs w:val="0"/>
                <w:sz w:val="22"/>
                <w:szCs w:val="22"/>
              </w:rPr>
              <w:t>Cet axe vise à garantir à tous des moyens techniques et de la connexion nécessaire pour participer pleinement à la société numérique. L’objectif est de réduire les inégalités liées au manque d’équipement ou à l’absence de connexion.</w:t>
            </w:r>
          </w:p>
          <w:p w14:paraId="4B0A1E70" w14:textId="77777777" w:rsidR="00E00B66" w:rsidRDefault="00E00B66" w:rsidP="001260EC">
            <w:pPr>
              <w:jc w:val="both"/>
              <w:rPr>
                <w:sz w:val="22"/>
                <w:szCs w:val="22"/>
              </w:rPr>
            </w:pPr>
          </w:p>
          <w:p w14:paraId="008E5EE2" w14:textId="77777777" w:rsidR="007B6B5C" w:rsidRPr="006C35B0" w:rsidRDefault="007B6B5C" w:rsidP="001260EC">
            <w:pPr>
              <w:jc w:val="both"/>
              <w:rPr>
                <w:sz w:val="22"/>
                <w:szCs w:val="22"/>
              </w:rPr>
            </w:pPr>
          </w:p>
          <w:p w14:paraId="70DAC536" w14:textId="77777777" w:rsidR="007B6B5C" w:rsidRDefault="007B6B5C" w:rsidP="001260EC">
            <w:pPr>
              <w:jc w:val="both"/>
              <w:rPr>
                <w:sz w:val="22"/>
                <w:szCs w:val="22"/>
              </w:rPr>
            </w:pPr>
            <w:r w:rsidRPr="006C35B0">
              <w:rPr>
                <w:b w:val="0"/>
                <w:bCs w:val="0"/>
                <w:sz w:val="22"/>
                <w:szCs w:val="22"/>
              </w:rPr>
              <w:t>Les projets retenus dans ce cadre devront prioritairement :</w:t>
            </w:r>
          </w:p>
          <w:p w14:paraId="13CCA2E8" w14:textId="77777777" w:rsidR="007B6B5C" w:rsidRPr="006C35B0" w:rsidRDefault="007B6B5C" w:rsidP="001260EC">
            <w:pPr>
              <w:jc w:val="both"/>
              <w:rPr>
                <w:b w:val="0"/>
                <w:bCs w:val="0"/>
                <w:sz w:val="22"/>
                <w:szCs w:val="22"/>
              </w:rPr>
            </w:pPr>
          </w:p>
          <w:p w14:paraId="2C9247B8" w14:textId="1143EA2F" w:rsidR="007B6B5C" w:rsidRPr="006C35B0" w:rsidRDefault="007B6B5C" w:rsidP="001260EC">
            <w:pPr>
              <w:numPr>
                <w:ilvl w:val="0"/>
                <w:numId w:val="30"/>
              </w:numPr>
              <w:jc w:val="both"/>
              <w:rPr>
                <w:b w:val="0"/>
                <w:bCs w:val="0"/>
                <w:sz w:val="22"/>
                <w:szCs w:val="22"/>
              </w:rPr>
            </w:pPr>
            <w:r w:rsidRPr="006C35B0">
              <w:rPr>
                <w:sz w:val="22"/>
                <w:szCs w:val="22"/>
              </w:rPr>
              <w:t>Favoriser l</w:t>
            </w:r>
            <w:r w:rsidR="008B3941">
              <w:rPr>
                <w:sz w:val="22"/>
                <w:szCs w:val="22"/>
              </w:rPr>
              <w:t xml:space="preserve">’accès à des </w:t>
            </w:r>
            <w:r w:rsidRPr="006C35B0">
              <w:rPr>
                <w:sz w:val="22"/>
                <w:szCs w:val="22"/>
              </w:rPr>
              <w:t>équipements adaptés</w:t>
            </w:r>
            <w:r w:rsidRPr="006C35B0">
              <w:rPr>
                <w:b w:val="0"/>
                <w:bCs w:val="0"/>
                <w:sz w:val="22"/>
                <w:szCs w:val="22"/>
              </w:rPr>
              <w:t xml:space="preserve"> (ordinateurs, tablettes, smartphones)</w:t>
            </w:r>
            <w:r w:rsidR="008B3941">
              <w:rPr>
                <w:b w:val="0"/>
                <w:bCs w:val="0"/>
                <w:sz w:val="22"/>
                <w:szCs w:val="22"/>
              </w:rPr>
              <w:t xml:space="preserve"> comme élément d’un projet global d’inclusion numérique, </w:t>
            </w:r>
            <w:r w:rsidRPr="006C35B0">
              <w:rPr>
                <w:b w:val="0"/>
                <w:bCs w:val="0"/>
                <w:sz w:val="22"/>
                <w:szCs w:val="22"/>
              </w:rPr>
              <w:t>notamment auprès des publics vulnérables ou éloignés du numérique.</w:t>
            </w:r>
          </w:p>
          <w:p w14:paraId="02D6227B" w14:textId="77777777" w:rsidR="007B6B5C" w:rsidRPr="006C35B0" w:rsidRDefault="007B6B5C" w:rsidP="001260EC">
            <w:pPr>
              <w:ind w:left="720"/>
              <w:jc w:val="both"/>
              <w:rPr>
                <w:b w:val="0"/>
                <w:bCs w:val="0"/>
                <w:sz w:val="22"/>
                <w:szCs w:val="22"/>
              </w:rPr>
            </w:pPr>
          </w:p>
          <w:p w14:paraId="6BF58AD8" w14:textId="77777777" w:rsidR="007B6B5C" w:rsidRPr="006C35B0" w:rsidRDefault="007B6B5C" w:rsidP="001260EC">
            <w:pPr>
              <w:numPr>
                <w:ilvl w:val="0"/>
                <w:numId w:val="30"/>
              </w:numPr>
              <w:jc w:val="both"/>
              <w:rPr>
                <w:b w:val="0"/>
                <w:bCs w:val="0"/>
                <w:sz w:val="22"/>
                <w:szCs w:val="22"/>
              </w:rPr>
            </w:pPr>
            <w:r w:rsidRPr="006C35B0">
              <w:rPr>
                <w:sz w:val="22"/>
                <w:szCs w:val="22"/>
              </w:rPr>
              <w:t>Développer des solutions pour améliorer la connectivité à Internet</w:t>
            </w:r>
            <w:r w:rsidRPr="006C35B0">
              <w:rPr>
                <w:b w:val="0"/>
                <w:bCs w:val="0"/>
                <w:sz w:val="22"/>
                <w:szCs w:val="22"/>
              </w:rPr>
              <w:t>, en particulier pour les ménages qui rencontrent des difficultés à assumer les coûts d’abonnement.</w:t>
            </w:r>
          </w:p>
          <w:p w14:paraId="45DC6939" w14:textId="77777777" w:rsidR="007B6B5C" w:rsidRPr="006C35B0" w:rsidRDefault="007B6B5C" w:rsidP="001260EC">
            <w:pPr>
              <w:jc w:val="both"/>
              <w:rPr>
                <w:b w:val="0"/>
                <w:bCs w:val="0"/>
                <w:sz w:val="22"/>
                <w:szCs w:val="22"/>
              </w:rPr>
            </w:pPr>
          </w:p>
          <w:p w14:paraId="33BD77B7" w14:textId="77777777" w:rsidR="007B6B5C" w:rsidRPr="00E00B66" w:rsidRDefault="007B6B5C" w:rsidP="001260EC">
            <w:pPr>
              <w:numPr>
                <w:ilvl w:val="0"/>
                <w:numId w:val="30"/>
              </w:numPr>
              <w:jc w:val="both"/>
              <w:rPr>
                <w:b w:val="0"/>
                <w:bCs w:val="0"/>
                <w:sz w:val="22"/>
                <w:szCs w:val="22"/>
              </w:rPr>
            </w:pPr>
            <w:r w:rsidRPr="006C35B0">
              <w:rPr>
                <w:sz w:val="22"/>
                <w:szCs w:val="22"/>
              </w:rPr>
              <w:t>Mettre en place des initiatives de prêt ou de réemploi de matériel</w:t>
            </w:r>
            <w:r w:rsidRPr="006C35B0">
              <w:rPr>
                <w:b w:val="0"/>
                <w:bCs w:val="0"/>
                <w:sz w:val="22"/>
                <w:szCs w:val="22"/>
              </w:rPr>
              <w:t>, afin d’encourager des solutions durables et accessibles à long terme.</w:t>
            </w:r>
          </w:p>
          <w:p w14:paraId="61826D85" w14:textId="77777777" w:rsidR="00E00B66" w:rsidRPr="006C35B0" w:rsidRDefault="00E00B66" w:rsidP="001260EC">
            <w:pPr>
              <w:jc w:val="both"/>
              <w:rPr>
                <w:b w:val="0"/>
                <w:bCs w:val="0"/>
                <w:sz w:val="22"/>
                <w:szCs w:val="22"/>
              </w:rPr>
            </w:pPr>
          </w:p>
          <w:p w14:paraId="06A67051" w14:textId="77777777" w:rsidR="007B6B5C" w:rsidRPr="006C35B0" w:rsidRDefault="007B6B5C" w:rsidP="001260EC">
            <w:pPr>
              <w:ind w:left="720"/>
              <w:jc w:val="both"/>
              <w:rPr>
                <w:b w:val="0"/>
                <w:bCs w:val="0"/>
                <w:sz w:val="22"/>
                <w:szCs w:val="22"/>
              </w:rPr>
            </w:pPr>
          </w:p>
          <w:p w14:paraId="3A2F75D2" w14:textId="77777777" w:rsidR="007B6B5C" w:rsidRDefault="007B6B5C" w:rsidP="001260EC">
            <w:pPr>
              <w:jc w:val="both"/>
              <w:rPr>
                <w:sz w:val="22"/>
                <w:szCs w:val="22"/>
              </w:rPr>
            </w:pPr>
            <w:r w:rsidRPr="006C35B0">
              <w:rPr>
                <w:b w:val="0"/>
                <w:bCs w:val="0"/>
                <w:sz w:val="22"/>
                <w:szCs w:val="22"/>
              </w:rPr>
              <w:t>Ces projets doivent s’attacher à lever les barrières techniques et économiques, afin de permettre à chacun un accès concret, stable et abordable aux outils et infrastructures numériques.</w:t>
            </w:r>
          </w:p>
          <w:p w14:paraId="49C7BB13" w14:textId="77777777" w:rsidR="007B6B5C" w:rsidRPr="006C35B0" w:rsidRDefault="007B6B5C" w:rsidP="001260EC">
            <w:pPr>
              <w:jc w:val="both"/>
              <w:rPr>
                <w:b w:val="0"/>
                <w:bCs w:val="0"/>
                <w:sz w:val="22"/>
                <w:szCs w:val="22"/>
              </w:rPr>
            </w:pPr>
          </w:p>
          <w:p w14:paraId="0E60B42D" w14:textId="77777777" w:rsidR="007B6B5C" w:rsidRPr="00A52933" w:rsidRDefault="007B6B5C" w:rsidP="001260EC">
            <w:pPr>
              <w:jc w:val="both"/>
              <w:rPr>
                <w:b w:val="0"/>
                <w:bCs w:val="0"/>
                <w:sz w:val="22"/>
                <w:szCs w:val="22"/>
              </w:rPr>
            </w:pPr>
          </w:p>
        </w:tc>
      </w:tr>
    </w:tbl>
    <w:p w14:paraId="56529A9B" w14:textId="1621C6B1" w:rsidR="00D70681" w:rsidRDefault="008E7918" w:rsidP="00D70681">
      <w:pPr>
        <w:jc w:val="both"/>
      </w:pPr>
      <w:r>
        <w:br/>
      </w:r>
    </w:p>
    <w:p w14:paraId="3462D6D4" w14:textId="77777777" w:rsidR="00240312" w:rsidRDefault="00240312" w:rsidP="00D70681">
      <w:pPr>
        <w:jc w:val="both"/>
      </w:pPr>
    </w:p>
    <w:tbl>
      <w:tblPr>
        <w:tblStyle w:val="LightList-Accent51"/>
        <w:tblpPr w:leftFromText="180" w:rightFromText="180" w:vertAnchor="page" w:horzAnchor="margin" w:tblpY="4396"/>
        <w:tblW w:w="9457" w:type="dxa"/>
        <w:tblBorders>
          <w:insideH w:val="single" w:sz="8" w:space="0" w:color="5B9BD5" w:themeColor="accent5"/>
          <w:insideV w:val="single" w:sz="8" w:space="0" w:color="5B9BD5" w:themeColor="accent5"/>
        </w:tblBorders>
        <w:tblLook w:val="04A0" w:firstRow="1" w:lastRow="0" w:firstColumn="1" w:lastColumn="0" w:noHBand="0" w:noVBand="1"/>
      </w:tblPr>
      <w:tblGrid>
        <w:gridCol w:w="9457"/>
      </w:tblGrid>
      <w:tr w:rsidR="00240312" w:rsidRPr="006A7AAD" w14:paraId="3FE43BBA" w14:textId="77777777" w:rsidTr="00E00B66">
        <w:trPr>
          <w:cnfStyle w:val="100000000000" w:firstRow="1" w:lastRow="0" w:firstColumn="0" w:lastColumn="0" w:oddVBand="0" w:evenVBand="0" w:oddHBand="0"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9457" w:type="dxa"/>
          </w:tcPr>
          <w:p w14:paraId="36F06876" w14:textId="3FCE12BF" w:rsidR="00240312" w:rsidRPr="006A7AAD" w:rsidRDefault="00240312" w:rsidP="00E00B66">
            <w:pPr>
              <w:jc w:val="center"/>
              <w:rPr>
                <w:lang w:eastAsia="ar-SA"/>
              </w:rPr>
            </w:pPr>
            <w:r>
              <w:lastRenderedPageBreak/>
              <w:t xml:space="preserve">Axe 2 : </w:t>
            </w:r>
            <w:r w:rsidR="00F1489A" w:rsidRPr="00195F2C">
              <w:t xml:space="preserve"> </w:t>
            </w:r>
            <w:r w:rsidR="006C35B0">
              <w:t>Accessibilité universelle et contenus inclusifs</w:t>
            </w:r>
          </w:p>
        </w:tc>
      </w:tr>
      <w:tr w:rsidR="00240312" w:rsidRPr="004309CE" w14:paraId="3299E4CA" w14:textId="77777777" w:rsidTr="00E00B66">
        <w:trPr>
          <w:cnfStyle w:val="000000100000" w:firstRow="0" w:lastRow="0" w:firstColumn="0" w:lastColumn="0" w:oddVBand="0" w:evenVBand="0" w:oddHBand="1" w:evenHBand="0" w:firstRowFirstColumn="0" w:firstRowLastColumn="0" w:lastRowFirstColumn="0" w:lastRowLastColumn="0"/>
          <w:trHeight w:val="8270"/>
        </w:trPr>
        <w:tc>
          <w:tcPr>
            <w:cnfStyle w:val="001000000000" w:firstRow="0" w:lastRow="0" w:firstColumn="1" w:lastColumn="0" w:oddVBand="0" w:evenVBand="0" w:oddHBand="0" w:evenHBand="0" w:firstRowFirstColumn="0" w:firstRowLastColumn="0" w:lastRowFirstColumn="0" w:lastRowLastColumn="0"/>
            <w:tcW w:w="9457" w:type="dxa"/>
          </w:tcPr>
          <w:p w14:paraId="3F6B07B4" w14:textId="77777777" w:rsidR="00D86A9C" w:rsidRDefault="00D86A9C" w:rsidP="00E00B66">
            <w:pPr>
              <w:jc w:val="both"/>
              <w:rPr>
                <w:bCs w:val="0"/>
                <w:sz w:val="22"/>
                <w:szCs w:val="22"/>
              </w:rPr>
            </w:pPr>
          </w:p>
          <w:p w14:paraId="38F7B5DB" w14:textId="77777777" w:rsidR="006C35B0" w:rsidRPr="006C35B0" w:rsidRDefault="006C35B0" w:rsidP="00E00B66">
            <w:pPr>
              <w:jc w:val="both"/>
              <w:rPr>
                <w:b w:val="0"/>
                <w:bCs w:val="0"/>
                <w:sz w:val="22"/>
                <w:szCs w:val="22"/>
              </w:rPr>
            </w:pPr>
            <w:r w:rsidRPr="006C35B0">
              <w:rPr>
                <w:b w:val="0"/>
                <w:bCs w:val="0"/>
                <w:sz w:val="22"/>
                <w:szCs w:val="22"/>
              </w:rPr>
              <w:t>Cet axe vise à rendre l’espace numérique utilisable par toutes et tous, quels que soient l’âge, les capacités physiques, sensorielles ou cognitives, ou encore le niveau de compétences avec les outils numériques. L’objectif est de promouvoir un environnement numérique réellement inclusif.</w:t>
            </w:r>
          </w:p>
          <w:p w14:paraId="0D0EDB26" w14:textId="77777777" w:rsidR="00240312" w:rsidRPr="000D3A66" w:rsidRDefault="00240312" w:rsidP="00E00B66">
            <w:pPr>
              <w:jc w:val="both"/>
              <w:rPr>
                <w:sz w:val="22"/>
                <w:szCs w:val="22"/>
              </w:rPr>
            </w:pPr>
          </w:p>
          <w:p w14:paraId="0DF9F854" w14:textId="078EF7BA" w:rsidR="00240312" w:rsidRPr="000D3A66" w:rsidRDefault="00240312" w:rsidP="00E00B66">
            <w:pPr>
              <w:jc w:val="both"/>
              <w:rPr>
                <w:b w:val="0"/>
                <w:bCs w:val="0"/>
                <w:sz w:val="22"/>
                <w:szCs w:val="22"/>
              </w:rPr>
            </w:pPr>
            <w:r w:rsidRPr="000D3A66">
              <w:rPr>
                <w:b w:val="0"/>
                <w:bCs w:val="0"/>
                <w:sz w:val="22"/>
                <w:szCs w:val="22"/>
              </w:rPr>
              <w:t xml:space="preserve">Les projets retenus dans ce cadre devront </w:t>
            </w:r>
            <w:r w:rsidR="006C35B0" w:rsidRPr="000D3A66">
              <w:rPr>
                <w:b w:val="0"/>
                <w:bCs w:val="0"/>
                <w:sz w:val="22"/>
                <w:szCs w:val="22"/>
              </w:rPr>
              <w:t>prioritairement</w:t>
            </w:r>
            <w:r w:rsidRPr="000D3A66">
              <w:rPr>
                <w:b w:val="0"/>
                <w:bCs w:val="0"/>
                <w:sz w:val="22"/>
                <w:szCs w:val="22"/>
              </w:rPr>
              <w:t xml:space="preserve"> :</w:t>
            </w:r>
          </w:p>
          <w:p w14:paraId="49B878D8" w14:textId="77777777" w:rsidR="00240312" w:rsidRPr="000D3A66" w:rsidRDefault="00240312" w:rsidP="00E00B66">
            <w:pPr>
              <w:jc w:val="both"/>
              <w:rPr>
                <w:sz w:val="22"/>
                <w:szCs w:val="22"/>
              </w:rPr>
            </w:pPr>
          </w:p>
          <w:p w14:paraId="432F936B" w14:textId="77777777" w:rsidR="000D3A66" w:rsidRPr="000D3A66" w:rsidRDefault="000D3A66" w:rsidP="00E00B66">
            <w:pPr>
              <w:pStyle w:val="ListParagraph"/>
              <w:numPr>
                <w:ilvl w:val="0"/>
                <w:numId w:val="23"/>
              </w:numPr>
              <w:rPr>
                <w:b w:val="0"/>
                <w:bCs w:val="0"/>
                <w:sz w:val="22"/>
                <w:szCs w:val="22"/>
              </w:rPr>
            </w:pPr>
            <w:r w:rsidRPr="000D3A66">
              <w:rPr>
                <w:sz w:val="22"/>
                <w:szCs w:val="22"/>
              </w:rPr>
              <w:t>Développer des actions de sensibilisation, de formation et/ou de communication</w:t>
            </w:r>
            <w:r w:rsidRPr="000D3A66">
              <w:rPr>
                <w:b w:val="0"/>
                <w:bCs w:val="0"/>
                <w:sz w:val="22"/>
                <w:szCs w:val="22"/>
              </w:rPr>
              <w:t xml:space="preserve"> à destination des professionnels et du grand public</w:t>
            </w:r>
            <w:r w:rsidRPr="000D3A66">
              <w:rPr>
                <w:sz w:val="22"/>
                <w:szCs w:val="22"/>
              </w:rPr>
              <w:t xml:space="preserve"> </w:t>
            </w:r>
            <w:r w:rsidRPr="000D3A66">
              <w:rPr>
                <w:b w:val="0"/>
                <w:bCs w:val="0"/>
                <w:sz w:val="22"/>
                <w:szCs w:val="22"/>
              </w:rPr>
              <w:t>pour diffuser une culture de l’inclusion numérique.</w:t>
            </w:r>
          </w:p>
          <w:p w14:paraId="4F60385B" w14:textId="77777777" w:rsidR="000D3A66" w:rsidRPr="000D3A66" w:rsidRDefault="000D3A66" w:rsidP="00E00B66">
            <w:pPr>
              <w:pStyle w:val="ListParagraph"/>
              <w:rPr>
                <w:b w:val="0"/>
                <w:bCs w:val="0"/>
                <w:sz w:val="22"/>
                <w:szCs w:val="22"/>
              </w:rPr>
            </w:pPr>
          </w:p>
          <w:p w14:paraId="0BD614DB" w14:textId="64E72A70" w:rsidR="000D3A66" w:rsidRPr="00E00B66" w:rsidRDefault="000D3A66" w:rsidP="00E00B66">
            <w:pPr>
              <w:pStyle w:val="ListParagraph"/>
              <w:numPr>
                <w:ilvl w:val="0"/>
                <w:numId w:val="23"/>
              </w:numPr>
              <w:spacing w:after="160" w:line="259" w:lineRule="auto"/>
              <w:contextualSpacing/>
              <w:jc w:val="both"/>
              <w:rPr>
                <w:b w:val="0"/>
                <w:bCs w:val="0"/>
                <w:sz w:val="22"/>
                <w:szCs w:val="22"/>
              </w:rPr>
            </w:pPr>
            <w:r w:rsidRPr="000D3A66">
              <w:rPr>
                <w:sz w:val="22"/>
                <w:szCs w:val="22"/>
              </w:rPr>
              <w:t>Encourager des démarches de co-conception</w:t>
            </w:r>
            <w:r w:rsidRPr="000D3A66">
              <w:rPr>
                <w:b w:val="0"/>
                <w:bCs w:val="0"/>
                <w:sz w:val="22"/>
                <w:szCs w:val="22"/>
              </w:rPr>
              <w:t xml:space="preserve"> impliquant directement les personnes concernées, afin que les solutions proposées soient réellement adaptées à leurs besoins.</w:t>
            </w:r>
          </w:p>
          <w:p w14:paraId="77AA7733" w14:textId="77777777" w:rsidR="00E00B66" w:rsidRPr="00E00B66" w:rsidRDefault="00E00B66" w:rsidP="00E00B66">
            <w:pPr>
              <w:pStyle w:val="ListParagraph"/>
              <w:rPr>
                <w:sz w:val="22"/>
                <w:szCs w:val="22"/>
              </w:rPr>
            </w:pPr>
          </w:p>
          <w:p w14:paraId="1A10200E" w14:textId="73FA1203" w:rsidR="00E00B66" w:rsidRPr="00E00B66" w:rsidRDefault="00E00B66" w:rsidP="00E00B66">
            <w:pPr>
              <w:pStyle w:val="ListParagraph"/>
              <w:numPr>
                <w:ilvl w:val="0"/>
                <w:numId w:val="23"/>
              </w:numPr>
              <w:spacing w:after="160" w:line="259" w:lineRule="auto"/>
              <w:contextualSpacing/>
              <w:jc w:val="both"/>
              <w:rPr>
                <w:b w:val="0"/>
                <w:bCs w:val="0"/>
                <w:sz w:val="22"/>
                <w:szCs w:val="22"/>
              </w:rPr>
            </w:pPr>
            <w:r w:rsidRPr="00E00B66">
              <w:rPr>
                <w:sz w:val="22"/>
                <w:szCs w:val="22"/>
              </w:rPr>
              <w:t>Soutenir la recherche, le développement et/ou la promotion de solutions, outils et formats numériques accessibles</w:t>
            </w:r>
            <w:r w:rsidRPr="00E00B66">
              <w:rPr>
                <w:b w:val="0"/>
                <w:bCs w:val="0"/>
                <w:sz w:val="22"/>
                <w:szCs w:val="22"/>
              </w:rPr>
              <w:t xml:space="preserve"> répondant aux besoins des personnes présentant des limitations sensorielles, cognitives ou motrices (par exemple : technologie d’assistance, sous-titrages, audios, interfaces simplifiées, textes en langage clair, etc.)</w:t>
            </w:r>
          </w:p>
          <w:p w14:paraId="442CCE8A" w14:textId="77777777" w:rsidR="00E00B66" w:rsidRPr="00E00B66" w:rsidRDefault="00E00B66" w:rsidP="00E00B66">
            <w:pPr>
              <w:pStyle w:val="ListParagraph"/>
              <w:rPr>
                <w:sz w:val="22"/>
                <w:szCs w:val="22"/>
              </w:rPr>
            </w:pPr>
          </w:p>
          <w:p w14:paraId="0ACBB6B4" w14:textId="3B10FF60" w:rsidR="00E00B66" w:rsidRPr="00E00B66" w:rsidRDefault="00E00B66" w:rsidP="00E00B66">
            <w:pPr>
              <w:pStyle w:val="ListParagraph"/>
              <w:numPr>
                <w:ilvl w:val="0"/>
                <w:numId w:val="23"/>
              </w:numPr>
              <w:spacing w:after="160" w:line="259" w:lineRule="auto"/>
              <w:contextualSpacing/>
              <w:jc w:val="both"/>
              <w:rPr>
                <w:b w:val="0"/>
                <w:bCs w:val="0"/>
                <w:sz w:val="22"/>
                <w:szCs w:val="22"/>
              </w:rPr>
            </w:pPr>
            <w:r w:rsidRPr="00E00B66">
              <w:rPr>
                <w:sz w:val="22"/>
                <w:szCs w:val="22"/>
              </w:rPr>
              <w:t>Créer des dispositifs</w:t>
            </w:r>
            <w:r w:rsidRPr="00E00B66">
              <w:rPr>
                <w:b w:val="0"/>
                <w:bCs w:val="0"/>
                <w:sz w:val="22"/>
                <w:szCs w:val="22"/>
              </w:rPr>
              <w:t xml:space="preserve"> (observatoires, laboratoires, plateformes collaboratives) dédiés à la veille, à l’expérimentation et/ou au partage de pratiques innovantes en matière d’accessibilité numérique.</w:t>
            </w:r>
          </w:p>
          <w:p w14:paraId="27989C74" w14:textId="4BB973E1" w:rsidR="00D86A9C" w:rsidRPr="000D3A66" w:rsidRDefault="00D86A9C" w:rsidP="00E00B66">
            <w:pPr>
              <w:jc w:val="both"/>
              <w:rPr>
                <w:b w:val="0"/>
                <w:bCs w:val="0"/>
                <w:sz w:val="22"/>
                <w:szCs w:val="22"/>
              </w:rPr>
            </w:pPr>
          </w:p>
          <w:p w14:paraId="0C9813F3" w14:textId="77777777" w:rsidR="00D86A9C" w:rsidRPr="000D3A66" w:rsidRDefault="00D86A9C" w:rsidP="00E00B66">
            <w:pPr>
              <w:jc w:val="both"/>
              <w:rPr>
                <w:sz w:val="22"/>
                <w:szCs w:val="22"/>
              </w:rPr>
            </w:pPr>
          </w:p>
          <w:p w14:paraId="11EFABAE" w14:textId="3208547F" w:rsidR="00240312" w:rsidRPr="000D3A66" w:rsidRDefault="000D3A66" w:rsidP="00E00B66">
            <w:pPr>
              <w:jc w:val="both"/>
              <w:rPr>
                <w:b w:val="0"/>
                <w:bCs w:val="0"/>
                <w:sz w:val="22"/>
                <w:szCs w:val="22"/>
              </w:rPr>
            </w:pPr>
            <w:r w:rsidRPr="000D3A66">
              <w:rPr>
                <w:b w:val="0"/>
                <w:bCs w:val="0"/>
                <w:sz w:val="22"/>
                <w:szCs w:val="22"/>
              </w:rPr>
              <w:t>Ces projets doivent viser à transformer l’expérience numérique en un espace équitable, où chacun peut accéder aux mêmes services, informations et opportunités sans obstacle.</w:t>
            </w:r>
          </w:p>
        </w:tc>
      </w:tr>
    </w:tbl>
    <w:p w14:paraId="528013C1" w14:textId="77777777" w:rsidR="00E00B66" w:rsidRDefault="00E00B66" w:rsidP="00D70681">
      <w:pPr>
        <w:jc w:val="both"/>
      </w:pPr>
    </w:p>
    <w:p w14:paraId="2DF860E7" w14:textId="77777777" w:rsidR="00E00B66" w:rsidRDefault="00E00B66" w:rsidP="00D70681">
      <w:pPr>
        <w:jc w:val="both"/>
      </w:pPr>
    </w:p>
    <w:p w14:paraId="18FEF850" w14:textId="77777777" w:rsidR="00E00B66" w:rsidRDefault="00E00B66" w:rsidP="00D70681">
      <w:pPr>
        <w:jc w:val="both"/>
      </w:pPr>
    </w:p>
    <w:p w14:paraId="053408C5" w14:textId="77777777" w:rsidR="00E00B66" w:rsidRDefault="00E00B66" w:rsidP="00D70681">
      <w:pPr>
        <w:jc w:val="both"/>
      </w:pPr>
    </w:p>
    <w:p w14:paraId="36CE26F6" w14:textId="77777777" w:rsidR="00E00B66" w:rsidRDefault="00E00B66" w:rsidP="00D70681">
      <w:pPr>
        <w:jc w:val="both"/>
      </w:pPr>
    </w:p>
    <w:p w14:paraId="6EEDAE4E" w14:textId="77777777" w:rsidR="00E00B66" w:rsidRDefault="00E00B66" w:rsidP="00D70681">
      <w:pPr>
        <w:jc w:val="both"/>
      </w:pPr>
    </w:p>
    <w:p w14:paraId="00BD545A" w14:textId="77777777" w:rsidR="00E00B66" w:rsidRDefault="00E00B66" w:rsidP="00D70681">
      <w:pPr>
        <w:jc w:val="both"/>
      </w:pPr>
    </w:p>
    <w:p w14:paraId="5BBE4C0C" w14:textId="77777777" w:rsidR="00E00B66" w:rsidRDefault="00E00B66" w:rsidP="00D70681">
      <w:pPr>
        <w:jc w:val="both"/>
      </w:pPr>
    </w:p>
    <w:p w14:paraId="59A40CC3" w14:textId="77777777" w:rsidR="00E00B66" w:rsidRDefault="00E00B66" w:rsidP="00D70681">
      <w:pPr>
        <w:jc w:val="both"/>
      </w:pPr>
    </w:p>
    <w:p w14:paraId="2DF53628" w14:textId="77777777" w:rsidR="00E00B66" w:rsidRDefault="00E00B66" w:rsidP="00D70681">
      <w:pPr>
        <w:jc w:val="both"/>
      </w:pPr>
    </w:p>
    <w:p w14:paraId="226C4E96" w14:textId="77777777" w:rsidR="00E00B66" w:rsidRDefault="00E00B66" w:rsidP="00D70681">
      <w:pPr>
        <w:jc w:val="both"/>
      </w:pPr>
    </w:p>
    <w:p w14:paraId="364ADC7C" w14:textId="77777777" w:rsidR="001260EC" w:rsidRDefault="001260EC" w:rsidP="00D70681">
      <w:pPr>
        <w:jc w:val="both"/>
      </w:pPr>
    </w:p>
    <w:p w14:paraId="256ED2B0" w14:textId="77777777" w:rsidR="001260EC" w:rsidRDefault="001260EC" w:rsidP="00D70681">
      <w:pPr>
        <w:jc w:val="both"/>
      </w:pPr>
    </w:p>
    <w:p w14:paraId="2F31B64F" w14:textId="77777777" w:rsidR="001260EC" w:rsidRDefault="001260EC" w:rsidP="00D70681">
      <w:pPr>
        <w:jc w:val="both"/>
      </w:pPr>
    </w:p>
    <w:p w14:paraId="6E914580" w14:textId="77777777" w:rsidR="000D3A66" w:rsidRDefault="000D3A66" w:rsidP="00D70681">
      <w:pPr>
        <w:jc w:val="both"/>
      </w:pPr>
    </w:p>
    <w:tbl>
      <w:tblPr>
        <w:tblStyle w:val="LightList-Accent51"/>
        <w:tblW w:w="0" w:type="auto"/>
        <w:tblLook w:val="04A0" w:firstRow="1" w:lastRow="0" w:firstColumn="1" w:lastColumn="0" w:noHBand="0" w:noVBand="1"/>
      </w:tblPr>
      <w:tblGrid>
        <w:gridCol w:w="9334"/>
      </w:tblGrid>
      <w:tr w:rsidR="000D3A66" w14:paraId="6EB3ECBE" w14:textId="77777777" w:rsidTr="00E00B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34" w:type="dxa"/>
          </w:tcPr>
          <w:p w14:paraId="74A4BB57" w14:textId="7FFC2790" w:rsidR="000D3A66" w:rsidRDefault="000D3A66" w:rsidP="000D3A66">
            <w:pPr>
              <w:jc w:val="center"/>
            </w:pPr>
            <w:r>
              <w:t>Axe 3 : Espaces et accompagnement pour l’inclusion numérique</w:t>
            </w:r>
          </w:p>
        </w:tc>
      </w:tr>
      <w:tr w:rsidR="000D3A66" w14:paraId="7301E1D1" w14:textId="77777777" w:rsidTr="00E00B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34" w:type="dxa"/>
          </w:tcPr>
          <w:p w14:paraId="34AC25AF" w14:textId="77777777" w:rsidR="000D3A66" w:rsidRDefault="000D3A66" w:rsidP="000D3A66">
            <w:pPr>
              <w:jc w:val="both"/>
              <w:rPr>
                <w:sz w:val="22"/>
                <w:szCs w:val="22"/>
              </w:rPr>
            </w:pPr>
          </w:p>
          <w:p w14:paraId="2008C230" w14:textId="75CC2B75" w:rsidR="000D3A66" w:rsidRPr="000D3A66" w:rsidRDefault="000D3A66" w:rsidP="000D3A66">
            <w:pPr>
              <w:jc w:val="both"/>
              <w:rPr>
                <w:b w:val="0"/>
                <w:bCs w:val="0"/>
                <w:sz w:val="22"/>
                <w:szCs w:val="22"/>
              </w:rPr>
            </w:pPr>
            <w:r w:rsidRPr="000D3A66">
              <w:rPr>
                <w:b w:val="0"/>
                <w:bCs w:val="0"/>
                <w:sz w:val="22"/>
                <w:szCs w:val="22"/>
              </w:rPr>
              <w:t>Cet axe met l’accent sur la création de lieux et de dispositifs d’assistance qui facilitent l’accès et l’usage du numérique. L’objectif est de proposer un accompagnement humain et une proximité physique permettant aux personnes les plus éloignées du numérique d’apprendre, d’expérimenter et de progresser dans un cadre adapté et bienveillant.</w:t>
            </w:r>
          </w:p>
          <w:p w14:paraId="51EE2FF0" w14:textId="77777777" w:rsidR="000D3A66" w:rsidRDefault="000D3A66" w:rsidP="000D3A66">
            <w:pPr>
              <w:jc w:val="both"/>
              <w:rPr>
                <w:b w:val="0"/>
                <w:bCs w:val="0"/>
                <w:sz w:val="22"/>
                <w:szCs w:val="22"/>
              </w:rPr>
            </w:pPr>
          </w:p>
          <w:p w14:paraId="2BD73B4A" w14:textId="77777777" w:rsidR="0011031D" w:rsidRDefault="0011031D" w:rsidP="000D3A66">
            <w:pPr>
              <w:jc w:val="both"/>
              <w:rPr>
                <w:sz w:val="22"/>
                <w:szCs w:val="22"/>
              </w:rPr>
            </w:pPr>
          </w:p>
          <w:p w14:paraId="7B03D580" w14:textId="77777777" w:rsidR="000D3A66" w:rsidRDefault="000D3A66" w:rsidP="000D3A66">
            <w:pPr>
              <w:jc w:val="both"/>
              <w:rPr>
                <w:sz w:val="22"/>
                <w:szCs w:val="22"/>
              </w:rPr>
            </w:pPr>
            <w:r w:rsidRPr="000D3A66">
              <w:rPr>
                <w:b w:val="0"/>
                <w:bCs w:val="0"/>
                <w:sz w:val="22"/>
                <w:szCs w:val="22"/>
              </w:rPr>
              <w:t>Les projets retenus dans ce cadre devront prioritairement :</w:t>
            </w:r>
          </w:p>
          <w:p w14:paraId="12BEB4D4" w14:textId="77777777" w:rsidR="000D3A66" w:rsidRDefault="000D3A66" w:rsidP="000D3A66">
            <w:pPr>
              <w:jc w:val="both"/>
              <w:rPr>
                <w:b w:val="0"/>
                <w:bCs w:val="0"/>
                <w:sz w:val="22"/>
                <w:szCs w:val="22"/>
              </w:rPr>
            </w:pPr>
          </w:p>
          <w:p w14:paraId="00EF4157" w14:textId="3DE3E665" w:rsidR="00E00B66" w:rsidRPr="00E00B66" w:rsidRDefault="00E00B66" w:rsidP="000D3A66">
            <w:pPr>
              <w:pStyle w:val="ListParagraph"/>
              <w:numPr>
                <w:ilvl w:val="0"/>
                <w:numId w:val="32"/>
              </w:numPr>
              <w:jc w:val="both"/>
              <w:rPr>
                <w:b w:val="0"/>
                <w:bCs w:val="0"/>
                <w:sz w:val="22"/>
                <w:szCs w:val="22"/>
              </w:rPr>
            </w:pPr>
            <w:r w:rsidRPr="00E00B66">
              <w:rPr>
                <w:sz w:val="22"/>
                <w:szCs w:val="22"/>
              </w:rPr>
              <w:t xml:space="preserve">Renforcer et déployer des espaces d’accès numériques et/ou des dispositifs itinérants </w:t>
            </w:r>
            <w:r w:rsidRPr="00E00B66">
              <w:rPr>
                <w:b w:val="0"/>
                <w:bCs w:val="0"/>
                <w:sz w:val="22"/>
                <w:szCs w:val="22"/>
              </w:rPr>
              <w:t>favorisant la formation, l’accompagnement et la participation de tous les publics, y compris ceux éloignés géographiquement ou socialement.</w:t>
            </w:r>
          </w:p>
          <w:p w14:paraId="3638AF75" w14:textId="77777777" w:rsidR="00E00B66" w:rsidRDefault="00E00B66" w:rsidP="00E00B66">
            <w:pPr>
              <w:pStyle w:val="ListParagraph"/>
              <w:jc w:val="both"/>
              <w:rPr>
                <w:b w:val="0"/>
                <w:bCs w:val="0"/>
                <w:sz w:val="22"/>
                <w:szCs w:val="22"/>
              </w:rPr>
            </w:pPr>
          </w:p>
          <w:p w14:paraId="1FA802E9" w14:textId="61C5EBAD" w:rsidR="000D3A66" w:rsidRPr="000D3A66" w:rsidRDefault="000D3A66" w:rsidP="000D3A66">
            <w:pPr>
              <w:pStyle w:val="ListParagraph"/>
              <w:numPr>
                <w:ilvl w:val="0"/>
                <w:numId w:val="32"/>
              </w:numPr>
              <w:jc w:val="both"/>
              <w:rPr>
                <w:b w:val="0"/>
                <w:bCs w:val="0"/>
                <w:sz w:val="22"/>
                <w:szCs w:val="22"/>
              </w:rPr>
            </w:pPr>
            <w:r w:rsidRPr="000D3A66">
              <w:rPr>
                <w:sz w:val="22"/>
                <w:szCs w:val="22"/>
              </w:rPr>
              <w:t>Mettre en place un accompagnement personnalisé</w:t>
            </w:r>
            <w:r w:rsidRPr="000D3A66">
              <w:rPr>
                <w:b w:val="0"/>
                <w:bCs w:val="0"/>
                <w:sz w:val="22"/>
                <w:szCs w:val="22"/>
              </w:rPr>
              <w:t xml:space="preserve"> (médiateurs, formateurs, volontaires) pour aider les individus dans leurs démarches en ligne et leur appropriation des outils numériques.</w:t>
            </w:r>
          </w:p>
          <w:p w14:paraId="154F09B5" w14:textId="77777777" w:rsidR="000D3A66" w:rsidRPr="000D3A66" w:rsidRDefault="000D3A66" w:rsidP="000D3A66">
            <w:pPr>
              <w:pStyle w:val="ListParagraph"/>
              <w:jc w:val="both"/>
              <w:rPr>
                <w:b w:val="0"/>
                <w:bCs w:val="0"/>
                <w:sz w:val="22"/>
                <w:szCs w:val="22"/>
              </w:rPr>
            </w:pPr>
          </w:p>
          <w:p w14:paraId="6AFFA196" w14:textId="31A2F24A" w:rsidR="000D3A66" w:rsidRPr="000D3A66" w:rsidRDefault="000D3A66" w:rsidP="000D3A66">
            <w:pPr>
              <w:pStyle w:val="ListParagraph"/>
              <w:numPr>
                <w:ilvl w:val="0"/>
                <w:numId w:val="32"/>
              </w:numPr>
              <w:jc w:val="both"/>
              <w:rPr>
                <w:b w:val="0"/>
                <w:bCs w:val="0"/>
                <w:sz w:val="22"/>
                <w:szCs w:val="22"/>
              </w:rPr>
            </w:pPr>
            <w:r w:rsidRPr="000D3A66">
              <w:rPr>
                <w:sz w:val="22"/>
                <w:szCs w:val="22"/>
              </w:rPr>
              <w:t>Concevoir et animer des programmes d’ateliers, de tutorat ou de formation</w:t>
            </w:r>
            <w:r w:rsidRPr="000D3A66">
              <w:rPr>
                <w:b w:val="0"/>
                <w:bCs w:val="0"/>
                <w:sz w:val="22"/>
                <w:szCs w:val="22"/>
              </w:rPr>
              <w:t xml:space="preserve"> adaptés aux différents niveaux et profils d’usagers</w:t>
            </w:r>
            <w:r>
              <w:rPr>
                <w:b w:val="0"/>
                <w:bCs w:val="0"/>
                <w:sz w:val="22"/>
                <w:szCs w:val="22"/>
              </w:rPr>
              <w:t>.</w:t>
            </w:r>
          </w:p>
          <w:p w14:paraId="54AA3627" w14:textId="77777777" w:rsidR="000D3A66" w:rsidRPr="000D3A66" w:rsidRDefault="000D3A66" w:rsidP="000D3A66">
            <w:pPr>
              <w:jc w:val="both"/>
              <w:rPr>
                <w:sz w:val="22"/>
                <w:szCs w:val="22"/>
              </w:rPr>
            </w:pPr>
          </w:p>
          <w:p w14:paraId="1AB1BD54" w14:textId="77777777" w:rsidR="000D3A66" w:rsidRDefault="000D3A66" w:rsidP="000D3A66">
            <w:pPr>
              <w:pStyle w:val="ListParagraph"/>
              <w:numPr>
                <w:ilvl w:val="0"/>
                <w:numId w:val="32"/>
              </w:numPr>
              <w:jc w:val="both"/>
              <w:rPr>
                <w:sz w:val="22"/>
                <w:szCs w:val="22"/>
              </w:rPr>
            </w:pPr>
            <w:r w:rsidRPr="000D3A66">
              <w:rPr>
                <w:sz w:val="22"/>
                <w:szCs w:val="22"/>
              </w:rPr>
              <w:t>Expérimenter de nouveaux modèles d’espaces hybrides</w:t>
            </w:r>
            <w:r w:rsidRPr="000D3A66">
              <w:rPr>
                <w:b w:val="0"/>
                <w:bCs w:val="0"/>
                <w:sz w:val="22"/>
                <w:szCs w:val="22"/>
              </w:rPr>
              <w:t xml:space="preserve"> combinant inclusion numérique, innovation sociale et accompagnement professionnel ou citoyen.</w:t>
            </w:r>
          </w:p>
          <w:p w14:paraId="2FB8EEB9" w14:textId="77777777" w:rsidR="000D3A66" w:rsidRDefault="000D3A66" w:rsidP="000D3A66">
            <w:pPr>
              <w:pStyle w:val="ListParagraph"/>
              <w:rPr>
                <w:b w:val="0"/>
                <w:bCs w:val="0"/>
                <w:sz w:val="22"/>
                <w:szCs w:val="22"/>
              </w:rPr>
            </w:pPr>
          </w:p>
          <w:p w14:paraId="1398BA2A" w14:textId="77777777" w:rsidR="0011031D" w:rsidRPr="000D3A66" w:rsidRDefault="0011031D" w:rsidP="000D3A66">
            <w:pPr>
              <w:pStyle w:val="ListParagraph"/>
              <w:rPr>
                <w:sz w:val="22"/>
                <w:szCs w:val="22"/>
              </w:rPr>
            </w:pPr>
          </w:p>
          <w:p w14:paraId="376069D1" w14:textId="77777777" w:rsidR="000D3A66" w:rsidRPr="000D3A66" w:rsidRDefault="000D3A66" w:rsidP="000D3A66">
            <w:pPr>
              <w:jc w:val="both"/>
              <w:rPr>
                <w:b w:val="0"/>
                <w:bCs w:val="0"/>
                <w:sz w:val="22"/>
                <w:szCs w:val="22"/>
              </w:rPr>
            </w:pPr>
            <w:r w:rsidRPr="000D3A66">
              <w:rPr>
                <w:b w:val="0"/>
                <w:bCs w:val="0"/>
                <w:sz w:val="22"/>
                <w:szCs w:val="22"/>
              </w:rPr>
              <w:t>Ces projets doivent offrir à chacun non seulement un lieu d’accès au numérique, mais également un environnement d’apprentissage et de confiance, où l’humain et la technologie se complètent pour réduire durablement la fracture numérique.</w:t>
            </w:r>
          </w:p>
          <w:p w14:paraId="581B6F85" w14:textId="77777777" w:rsidR="000D3A66" w:rsidRDefault="000D3A66" w:rsidP="000D3A66">
            <w:pPr>
              <w:jc w:val="both"/>
              <w:rPr>
                <w:sz w:val="22"/>
                <w:szCs w:val="22"/>
              </w:rPr>
            </w:pPr>
          </w:p>
          <w:p w14:paraId="078E23D9" w14:textId="13C0EAE2" w:rsidR="0011031D" w:rsidRPr="000D3A66" w:rsidRDefault="0011031D" w:rsidP="000D3A66">
            <w:pPr>
              <w:jc w:val="both"/>
              <w:rPr>
                <w:b w:val="0"/>
                <w:bCs w:val="0"/>
                <w:sz w:val="22"/>
                <w:szCs w:val="22"/>
              </w:rPr>
            </w:pPr>
          </w:p>
        </w:tc>
      </w:tr>
    </w:tbl>
    <w:p w14:paraId="038EA3EC" w14:textId="53D84034" w:rsidR="008A01E0" w:rsidRDefault="000D3A66" w:rsidP="004309CE">
      <w:pPr>
        <w:jc w:val="both"/>
      </w:pPr>
      <w:r>
        <w:br/>
      </w:r>
      <w:r w:rsidR="00E44165" w:rsidRPr="007555A4">
        <w:t xml:space="preserve">Bien que chaque projet soumis doive répondre </w:t>
      </w:r>
      <w:r w:rsidR="005B722B">
        <w:t>uniquement</w:t>
      </w:r>
      <w:r w:rsidR="00E44165" w:rsidRPr="007555A4">
        <w:t xml:space="preserve"> à </w:t>
      </w:r>
      <w:r w:rsidR="005B722B">
        <w:t xml:space="preserve">un des </w:t>
      </w:r>
      <w:r w:rsidR="00EC6720">
        <w:t>trois</w:t>
      </w:r>
      <w:r w:rsidR="005B722B">
        <w:t xml:space="preserve"> </w:t>
      </w:r>
      <w:r w:rsidR="00E44165" w:rsidRPr="007555A4">
        <w:t>axe</w:t>
      </w:r>
      <w:r w:rsidR="005B722B">
        <w:t>s</w:t>
      </w:r>
      <w:r w:rsidR="00E44165" w:rsidRPr="007555A4">
        <w:t xml:space="preserve"> mentionné</w:t>
      </w:r>
      <w:r w:rsidR="005B722B">
        <w:t>s</w:t>
      </w:r>
      <w:r w:rsidR="00E44165" w:rsidRPr="007555A4">
        <w:t>, le porteur de projet peut soumettre plusieurs candidatures pour des projets différents dans le cadre de cet appel à projets.</w:t>
      </w:r>
    </w:p>
    <w:p w14:paraId="320DF933" w14:textId="77777777" w:rsidR="00E44165" w:rsidRDefault="00E44165" w:rsidP="004309CE">
      <w:pPr>
        <w:jc w:val="both"/>
      </w:pPr>
    </w:p>
    <w:p w14:paraId="0FF711D6" w14:textId="7CC85AB8" w:rsidR="00D40F84" w:rsidRDefault="00E44165" w:rsidP="004309CE">
      <w:pPr>
        <w:jc w:val="both"/>
      </w:pPr>
      <w:r w:rsidRPr="00E44165">
        <w:t>Les projets éligibles devront compléter l’offre existante et peuvent prendre diverses formes, telles que des activités de sensibilisation, des projets d’information ou d'animation, des cours de formation, des vidéos et petits films d'animation, des expositions (itinérantes, interactives, etc.), des forums d’échanges, des carnets pédagogiques, et plus encore.</w:t>
      </w:r>
    </w:p>
    <w:p w14:paraId="07CEF594" w14:textId="77777777" w:rsidR="00E44165" w:rsidRDefault="00E44165" w:rsidP="004309CE">
      <w:pPr>
        <w:jc w:val="both"/>
      </w:pPr>
    </w:p>
    <w:p w14:paraId="0815C374" w14:textId="6BC1E244" w:rsidR="00A52933" w:rsidRDefault="00751A8C" w:rsidP="00F1489A">
      <w:pPr>
        <w:spacing w:line="276" w:lineRule="auto"/>
        <w:contextualSpacing/>
      </w:pPr>
      <w:r w:rsidRPr="00751A8C">
        <w:t>Les projets réalisés en partenariat entre acteurs seront encouragés et retenus en priorité.</w:t>
      </w:r>
    </w:p>
    <w:p w14:paraId="795BC727" w14:textId="77777777" w:rsidR="00824AAD" w:rsidRDefault="00824AAD" w:rsidP="004309CE">
      <w:pPr>
        <w:jc w:val="both"/>
      </w:pPr>
    </w:p>
    <w:p w14:paraId="60FD596E" w14:textId="77777777" w:rsidR="0011031D" w:rsidRDefault="0011031D" w:rsidP="004309CE">
      <w:pPr>
        <w:jc w:val="both"/>
      </w:pPr>
    </w:p>
    <w:p w14:paraId="3E08C371" w14:textId="77777777" w:rsidR="00B975A5" w:rsidRDefault="00B975A5" w:rsidP="004309CE">
      <w:pPr>
        <w:jc w:val="both"/>
      </w:pPr>
    </w:p>
    <w:p w14:paraId="73A36B4D" w14:textId="77777777" w:rsidR="00E00B66" w:rsidRDefault="00E00B66" w:rsidP="004309CE">
      <w:pPr>
        <w:jc w:val="both"/>
      </w:pPr>
    </w:p>
    <w:p w14:paraId="2B1CF4C8" w14:textId="20676BE9" w:rsidR="008A01E0" w:rsidRPr="008A01E0" w:rsidRDefault="0B3BD5ED" w:rsidP="0B3BD5ED">
      <w:pPr>
        <w:pStyle w:val="ListParagraph"/>
        <w:numPr>
          <w:ilvl w:val="0"/>
          <w:numId w:val="11"/>
        </w:numPr>
        <w:jc w:val="both"/>
        <w:rPr>
          <w:b/>
          <w:bCs/>
        </w:rPr>
      </w:pPr>
      <w:r w:rsidRPr="0B3BD5ED">
        <w:rPr>
          <w:b/>
          <w:bCs/>
        </w:rPr>
        <w:lastRenderedPageBreak/>
        <w:t>Conditions générales</w:t>
      </w:r>
    </w:p>
    <w:p w14:paraId="7196401F" w14:textId="36D97F3D" w:rsidR="00DF36D9" w:rsidRPr="000F7997" w:rsidRDefault="00DF36D9" w:rsidP="00DF36D9"/>
    <w:tbl>
      <w:tblPr>
        <w:tblStyle w:val="LightList-Accent5"/>
        <w:tblW w:w="10490" w:type="dxa"/>
        <w:tblInd w:w="-294" w:type="dxa"/>
        <w:tblBorders>
          <w:insideH w:val="single" w:sz="8" w:space="0" w:color="5B9BD5" w:themeColor="accent5"/>
          <w:insideV w:val="single" w:sz="8" w:space="0" w:color="5B9BD5" w:themeColor="accent5"/>
        </w:tblBorders>
        <w:tblLook w:val="04A0" w:firstRow="1" w:lastRow="0" w:firstColumn="1" w:lastColumn="0" w:noHBand="0" w:noVBand="1"/>
      </w:tblPr>
      <w:tblGrid>
        <w:gridCol w:w="3119"/>
        <w:gridCol w:w="7371"/>
      </w:tblGrid>
      <w:tr w:rsidR="00DF36D9" w:rsidRPr="00A35DAD" w14:paraId="68E23322" w14:textId="77777777" w:rsidTr="0B3BD5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gridSpan w:val="2"/>
          </w:tcPr>
          <w:p w14:paraId="2C26D5BB" w14:textId="77777777" w:rsidR="00DF36D9" w:rsidRPr="0051227E" w:rsidRDefault="0B3BD5ED" w:rsidP="0B3BD5ED">
            <w:pPr>
              <w:tabs>
                <w:tab w:val="left" w:pos="3812"/>
              </w:tabs>
              <w:suppressAutoHyphens/>
              <w:spacing w:before="120" w:after="120" w:line="276" w:lineRule="auto"/>
              <w:jc w:val="center"/>
              <w:rPr>
                <w:color w:val="000000" w:themeColor="text1"/>
                <w:sz w:val="22"/>
                <w:szCs w:val="22"/>
              </w:rPr>
            </w:pPr>
            <w:r w:rsidRPr="0B3BD5ED">
              <w:rPr>
                <w:sz w:val="22"/>
                <w:szCs w:val="22"/>
                <w:lang w:eastAsia="ar-SA"/>
              </w:rPr>
              <w:t>Conditions générales</w:t>
            </w:r>
          </w:p>
        </w:tc>
      </w:tr>
      <w:tr w:rsidR="009B65D6" w:rsidRPr="00ED4FAD" w14:paraId="78242A90" w14:textId="77777777" w:rsidTr="0B3BD5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48D09523" w14:textId="27AFDF0E" w:rsidR="009B65D6" w:rsidRPr="009B65D6" w:rsidRDefault="0B3BD5ED" w:rsidP="0B3BD5ED">
            <w:pPr>
              <w:tabs>
                <w:tab w:val="left" w:pos="3812"/>
              </w:tabs>
              <w:spacing w:before="120" w:after="120" w:line="276" w:lineRule="auto"/>
              <w:rPr>
                <w:sz w:val="22"/>
                <w:szCs w:val="22"/>
                <w:lang w:eastAsia="ar-SA"/>
              </w:rPr>
            </w:pPr>
            <w:r w:rsidRPr="0B3BD5ED">
              <w:rPr>
                <w:sz w:val="22"/>
                <w:szCs w:val="22"/>
              </w:rPr>
              <w:t>Public Cible</w:t>
            </w:r>
          </w:p>
        </w:tc>
        <w:tc>
          <w:tcPr>
            <w:tcW w:w="7371" w:type="dxa"/>
          </w:tcPr>
          <w:p w14:paraId="04F64E3D" w14:textId="57D17B32" w:rsidR="009B65D6" w:rsidRPr="009B65D6" w:rsidRDefault="0B3BD5ED" w:rsidP="0B3BD5ED">
            <w:pPr>
              <w:suppressAutoHyphens/>
              <w:spacing w:before="120" w:line="276" w:lineRule="auto"/>
              <w:jc w:val="both"/>
              <w:cnfStyle w:val="000000100000" w:firstRow="0" w:lastRow="0" w:firstColumn="0" w:lastColumn="0" w:oddVBand="0" w:evenVBand="0" w:oddHBand="1" w:evenHBand="0" w:firstRowFirstColumn="0" w:firstRowLastColumn="0" w:lastRowFirstColumn="0" w:lastRowLastColumn="0"/>
              <w:rPr>
                <w:sz w:val="22"/>
                <w:szCs w:val="22"/>
                <w:lang w:eastAsia="ar-SA"/>
              </w:rPr>
            </w:pPr>
            <w:r w:rsidRPr="0B3BD5ED">
              <w:rPr>
                <w:sz w:val="22"/>
                <w:szCs w:val="22"/>
                <w:lang w:eastAsia="ar-SA"/>
              </w:rPr>
              <w:t xml:space="preserve">Résidents du Grand-Duché de Luxembourg et travailleurs frontaliers au Luxembourg </w:t>
            </w:r>
          </w:p>
        </w:tc>
      </w:tr>
      <w:tr w:rsidR="009B65D6" w:rsidRPr="00ED4FAD" w14:paraId="15878BC5" w14:textId="77777777" w:rsidTr="0B3BD5ED">
        <w:tc>
          <w:tcPr>
            <w:cnfStyle w:val="001000000000" w:firstRow="0" w:lastRow="0" w:firstColumn="1" w:lastColumn="0" w:oddVBand="0" w:evenVBand="0" w:oddHBand="0" w:evenHBand="0" w:firstRowFirstColumn="0" w:firstRowLastColumn="0" w:lastRowFirstColumn="0" w:lastRowLastColumn="0"/>
            <w:tcW w:w="3119" w:type="dxa"/>
          </w:tcPr>
          <w:p w14:paraId="53E5E09D" w14:textId="607720F8" w:rsidR="009B65D6" w:rsidRPr="0051227E" w:rsidRDefault="0B3BD5ED" w:rsidP="0B3BD5ED">
            <w:pPr>
              <w:tabs>
                <w:tab w:val="left" w:pos="3812"/>
              </w:tabs>
              <w:spacing w:before="120" w:after="120" w:line="276" w:lineRule="auto"/>
              <w:rPr>
                <w:sz w:val="22"/>
                <w:szCs w:val="22"/>
                <w:lang w:eastAsia="ar-SA"/>
              </w:rPr>
            </w:pPr>
            <w:r w:rsidRPr="0B3BD5ED">
              <w:rPr>
                <w:sz w:val="22"/>
                <w:szCs w:val="22"/>
                <w:lang w:eastAsia="ar-SA"/>
              </w:rPr>
              <w:t xml:space="preserve">Lieu de réalisation des projets </w:t>
            </w:r>
          </w:p>
        </w:tc>
        <w:tc>
          <w:tcPr>
            <w:tcW w:w="7371" w:type="dxa"/>
          </w:tcPr>
          <w:p w14:paraId="34E6CE5D" w14:textId="5538B5D7" w:rsidR="009B65D6" w:rsidRPr="0051227E" w:rsidRDefault="0B3BD5ED" w:rsidP="0B3BD5ED">
            <w:pPr>
              <w:suppressAutoHyphens/>
              <w:spacing w:before="120" w:line="276" w:lineRule="auto"/>
              <w:jc w:val="both"/>
              <w:cnfStyle w:val="000000000000" w:firstRow="0" w:lastRow="0" w:firstColumn="0" w:lastColumn="0" w:oddVBand="0" w:evenVBand="0" w:oddHBand="0" w:evenHBand="0" w:firstRowFirstColumn="0" w:firstRowLastColumn="0" w:lastRowFirstColumn="0" w:lastRowLastColumn="0"/>
              <w:rPr>
                <w:sz w:val="22"/>
                <w:szCs w:val="22"/>
                <w:lang w:eastAsia="ar-SA"/>
              </w:rPr>
            </w:pPr>
            <w:r w:rsidRPr="0B3BD5ED">
              <w:rPr>
                <w:sz w:val="22"/>
                <w:szCs w:val="22"/>
                <w:lang w:eastAsia="ar-SA"/>
              </w:rPr>
              <w:t>Grand-Duché de Luxembourg</w:t>
            </w:r>
          </w:p>
        </w:tc>
      </w:tr>
      <w:tr w:rsidR="009B65D6" w:rsidRPr="00757CAD" w14:paraId="0EBBA609" w14:textId="77777777" w:rsidTr="0B3BD5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1E81BD31" w14:textId="77777777" w:rsidR="009B65D6" w:rsidRPr="0051227E" w:rsidRDefault="0B3BD5ED" w:rsidP="0B3BD5ED">
            <w:pPr>
              <w:tabs>
                <w:tab w:val="left" w:pos="3812"/>
              </w:tabs>
              <w:spacing w:before="120" w:after="120" w:line="276" w:lineRule="auto"/>
              <w:rPr>
                <w:sz w:val="22"/>
                <w:szCs w:val="22"/>
              </w:rPr>
            </w:pPr>
            <w:r w:rsidRPr="0B3BD5ED">
              <w:rPr>
                <w:sz w:val="22"/>
                <w:szCs w:val="22"/>
              </w:rPr>
              <w:t>Porteurs de projet éligibles</w:t>
            </w:r>
          </w:p>
        </w:tc>
        <w:tc>
          <w:tcPr>
            <w:tcW w:w="7371" w:type="dxa"/>
          </w:tcPr>
          <w:p w14:paraId="7243C369" w14:textId="77777777" w:rsidR="009B65D6" w:rsidRDefault="0B3BD5ED" w:rsidP="0B3BD5ED">
            <w:pPr>
              <w:pStyle w:val="ListParagraph"/>
              <w:numPr>
                <w:ilvl w:val="0"/>
                <w:numId w:val="9"/>
              </w:numPr>
              <w:autoSpaceDE w:val="0"/>
              <w:spacing w:before="120" w:line="276"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B3BD5ED">
              <w:rPr>
                <w:color w:val="000000" w:themeColor="text1"/>
                <w:sz w:val="22"/>
                <w:szCs w:val="22"/>
              </w:rPr>
              <w:t>Associations sans but lucratif</w:t>
            </w:r>
          </w:p>
          <w:p w14:paraId="36C5C83E" w14:textId="35FCD072" w:rsidR="007555A4" w:rsidRDefault="007555A4" w:rsidP="0B3BD5ED">
            <w:pPr>
              <w:pStyle w:val="ListParagraph"/>
              <w:numPr>
                <w:ilvl w:val="0"/>
                <w:numId w:val="9"/>
              </w:numPr>
              <w:autoSpaceDE w:val="0"/>
              <w:spacing w:before="120" w:line="276"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Pr>
                <w:color w:val="000000" w:themeColor="text1"/>
                <w:sz w:val="22"/>
                <w:szCs w:val="22"/>
              </w:rPr>
              <w:t xml:space="preserve">Fondations </w:t>
            </w:r>
          </w:p>
          <w:p w14:paraId="1B5B0202" w14:textId="663D509C" w:rsidR="007555A4" w:rsidRDefault="007555A4" w:rsidP="0B3BD5ED">
            <w:pPr>
              <w:pStyle w:val="ListParagraph"/>
              <w:numPr>
                <w:ilvl w:val="0"/>
                <w:numId w:val="9"/>
              </w:numPr>
              <w:autoSpaceDE w:val="0"/>
              <w:spacing w:before="120" w:line="276"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Pr>
                <w:color w:val="000000" w:themeColor="text1"/>
                <w:sz w:val="22"/>
                <w:szCs w:val="22"/>
              </w:rPr>
              <w:t>Sociétés d’impact sociétal</w:t>
            </w:r>
          </w:p>
          <w:p w14:paraId="2DC7AA7C" w14:textId="2A992CAB" w:rsidR="00D0200E" w:rsidRPr="0051227E" w:rsidRDefault="00D0200E" w:rsidP="0B3BD5ED">
            <w:pPr>
              <w:pStyle w:val="ListParagraph"/>
              <w:numPr>
                <w:ilvl w:val="0"/>
                <w:numId w:val="9"/>
              </w:numPr>
              <w:autoSpaceDE w:val="0"/>
              <w:spacing w:before="120" w:line="276"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Pr>
                <w:color w:val="000000" w:themeColor="text1"/>
                <w:sz w:val="22"/>
                <w:szCs w:val="22"/>
              </w:rPr>
              <w:t>Groupements d’intérêt économique</w:t>
            </w:r>
          </w:p>
          <w:p w14:paraId="2CAC7F58" w14:textId="77777777" w:rsidR="009B65D6" w:rsidRPr="0051227E" w:rsidRDefault="0B3BD5ED" w:rsidP="0B3BD5ED">
            <w:pPr>
              <w:pStyle w:val="ListParagraph"/>
              <w:numPr>
                <w:ilvl w:val="0"/>
                <w:numId w:val="9"/>
              </w:numPr>
              <w:autoSpaceDE w:val="0"/>
              <w:spacing w:before="120" w:line="276"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B3BD5ED">
              <w:rPr>
                <w:color w:val="000000" w:themeColor="text1"/>
                <w:sz w:val="22"/>
                <w:szCs w:val="22"/>
              </w:rPr>
              <w:t>Organismes privés / Entreprises</w:t>
            </w:r>
          </w:p>
          <w:p w14:paraId="709E1188" w14:textId="1D12DD66" w:rsidR="009B65D6" w:rsidRDefault="0B3BD5ED" w:rsidP="0B3BD5ED">
            <w:pPr>
              <w:pStyle w:val="ListParagraph"/>
              <w:numPr>
                <w:ilvl w:val="0"/>
                <w:numId w:val="9"/>
              </w:numPr>
              <w:autoSpaceDE w:val="0"/>
              <w:spacing w:before="120" w:line="276"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B3BD5ED">
              <w:rPr>
                <w:color w:val="000000" w:themeColor="text1"/>
                <w:sz w:val="22"/>
                <w:szCs w:val="22"/>
              </w:rPr>
              <w:t>Etablissements publics</w:t>
            </w:r>
            <w:r w:rsidR="00E622D9">
              <w:rPr>
                <w:color w:val="000000" w:themeColor="text1"/>
                <w:sz w:val="22"/>
                <w:szCs w:val="22"/>
              </w:rPr>
              <w:t xml:space="preserve"> </w:t>
            </w:r>
          </w:p>
          <w:p w14:paraId="7B1381F1" w14:textId="62A53D5C" w:rsidR="009B65D6" w:rsidRPr="0051227E" w:rsidRDefault="0B3BD5ED" w:rsidP="0B3BD5ED">
            <w:pPr>
              <w:pStyle w:val="ListParagraph"/>
              <w:numPr>
                <w:ilvl w:val="0"/>
                <w:numId w:val="9"/>
              </w:numPr>
              <w:autoSpaceDE w:val="0"/>
              <w:spacing w:before="120" w:line="276"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B3BD5ED">
              <w:rPr>
                <w:color w:val="000000" w:themeColor="text1"/>
                <w:sz w:val="22"/>
                <w:szCs w:val="22"/>
              </w:rPr>
              <w:t>Communes / Syndicats intercommunaux</w:t>
            </w:r>
          </w:p>
          <w:p w14:paraId="366CFE5A" w14:textId="1F231051" w:rsidR="009B65D6" w:rsidRPr="0051227E" w:rsidRDefault="0B3BD5ED" w:rsidP="0B3BD5ED">
            <w:pPr>
              <w:pStyle w:val="ListParagraph"/>
              <w:numPr>
                <w:ilvl w:val="0"/>
                <w:numId w:val="9"/>
              </w:numPr>
              <w:autoSpaceDE w:val="0"/>
              <w:spacing w:before="120" w:line="276"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B3BD5ED">
              <w:rPr>
                <w:color w:val="000000" w:themeColor="text1"/>
                <w:sz w:val="22"/>
                <w:szCs w:val="22"/>
              </w:rPr>
              <w:t>Chambres professionnelles</w:t>
            </w:r>
          </w:p>
          <w:p w14:paraId="20780845" w14:textId="59A2510A" w:rsidR="001E6250" w:rsidRPr="000F5427" w:rsidRDefault="0B3BD5ED" w:rsidP="0B3BD5ED">
            <w:pPr>
              <w:pStyle w:val="ListParagraph"/>
              <w:numPr>
                <w:ilvl w:val="0"/>
                <w:numId w:val="9"/>
              </w:numPr>
              <w:autoSpaceDE w:val="0"/>
              <w:spacing w:before="120"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B3BD5ED">
              <w:rPr>
                <w:color w:val="000000" w:themeColor="text1"/>
                <w:sz w:val="22"/>
                <w:szCs w:val="22"/>
              </w:rPr>
              <w:t xml:space="preserve">Centres de formation </w:t>
            </w:r>
          </w:p>
          <w:p w14:paraId="0E6689A8" w14:textId="228A5725" w:rsidR="009B65D6" w:rsidRPr="0051227E" w:rsidRDefault="0B3BD5ED" w:rsidP="0B3BD5ED">
            <w:pPr>
              <w:pStyle w:val="ListParagraph"/>
              <w:numPr>
                <w:ilvl w:val="0"/>
                <w:numId w:val="9"/>
              </w:numPr>
              <w:autoSpaceDE w:val="0"/>
              <w:spacing w:before="120"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B3BD5ED">
              <w:rPr>
                <w:color w:val="000000" w:themeColor="text1"/>
                <w:sz w:val="22"/>
                <w:szCs w:val="22"/>
              </w:rPr>
              <w:t>Instituts de recherches publics</w:t>
            </w:r>
          </w:p>
        </w:tc>
      </w:tr>
      <w:tr w:rsidR="009B65D6" w:rsidRPr="001E407B" w14:paraId="2E4B76D8" w14:textId="77777777" w:rsidTr="0B3BD5ED">
        <w:tc>
          <w:tcPr>
            <w:cnfStyle w:val="001000000000" w:firstRow="0" w:lastRow="0" w:firstColumn="1" w:lastColumn="0" w:oddVBand="0" w:evenVBand="0" w:oddHBand="0" w:evenHBand="0" w:firstRowFirstColumn="0" w:firstRowLastColumn="0" w:lastRowFirstColumn="0" w:lastRowLastColumn="0"/>
            <w:tcW w:w="3119" w:type="dxa"/>
          </w:tcPr>
          <w:p w14:paraId="7607DA09" w14:textId="462834D3" w:rsidR="009B65D6" w:rsidRPr="0051227E" w:rsidRDefault="0B3BD5ED" w:rsidP="0B3BD5ED">
            <w:pPr>
              <w:tabs>
                <w:tab w:val="left" w:pos="3812"/>
              </w:tabs>
              <w:spacing w:before="120" w:after="120" w:line="276" w:lineRule="auto"/>
              <w:rPr>
                <w:sz w:val="22"/>
                <w:szCs w:val="22"/>
              </w:rPr>
            </w:pPr>
            <w:r w:rsidRPr="0B3BD5ED">
              <w:rPr>
                <w:sz w:val="22"/>
                <w:szCs w:val="22"/>
              </w:rPr>
              <w:t>Critères de sélection</w:t>
            </w:r>
          </w:p>
        </w:tc>
        <w:tc>
          <w:tcPr>
            <w:tcW w:w="7371" w:type="dxa"/>
          </w:tcPr>
          <w:p w14:paraId="17172174" w14:textId="0F15B96A" w:rsidR="009C4ADD" w:rsidRDefault="0B3BD5ED" w:rsidP="0B3BD5ED">
            <w:pPr>
              <w:spacing w:before="120" w:line="276" w:lineRule="auto"/>
              <w:jc w:val="both"/>
              <w:cnfStyle w:val="000000000000" w:firstRow="0" w:lastRow="0" w:firstColumn="0" w:lastColumn="0" w:oddVBand="0" w:evenVBand="0" w:oddHBand="0" w:evenHBand="0" w:firstRowFirstColumn="0" w:firstRowLastColumn="0" w:lastRowFirstColumn="0" w:lastRowLastColumn="0"/>
              <w:rPr>
                <w:sz w:val="22"/>
                <w:szCs w:val="22"/>
              </w:rPr>
            </w:pPr>
            <w:r w:rsidRPr="0B3BD5ED">
              <w:rPr>
                <w:sz w:val="22"/>
                <w:szCs w:val="22"/>
              </w:rPr>
              <w:t xml:space="preserve">Pour pouvoir bénéficier d’un financement, les projets soumis seront évalués sur base des critères </w:t>
            </w:r>
            <w:r w:rsidR="0008093E" w:rsidRPr="0B3BD5ED">
              <w:rPr>
                <w:sz w:val="22"/>
                <w:szCs w:val="22"/>
              </w:rPr>
              <w:t>suivants :</w:t>
            </w:r>
          </w:p>
          <w:p w14:paraId="3D9986B2" w14:textId="29C54867" w:rsidR="009C4ADD" w:rsidRDefault="0B3BD5ED" w:rsidP="0B3BD5ED">
            <w:pPr>
              <w:pStyle w:val="ListParagraph"/>
              <w:numPr>
                <w:ilvl w:val="0"/>
                <w:numId w:val="10"/>
              </w:numPr>
              <w:spacing w:before="120" w:line="276" w:lineRule="auto"/>
              <w:jc w:val="both"/>
              <w:cnfStyle w:val="000000000000" w:firstRow="0" w:lastRow="0" w:firstColumn="0" w:lastColumn="0" w:oddVBand="0" w:evenVBand="0" w:oddHBand="0" w:evenHBand="0" w:firstRowFirstColumn="0" w:firstRowLastColumn="0" w:lastRowFirstColumn="0" w:lastRowLastColumn="0"/>
              <w:rPr>
                <w:sz w:val="22"/>
                <w:szCs w:val="22"/>
              </w:rPr>
            </w:pPr>
            <w:r w:rsidRPr="0B3BD5ED">
              <w:rPr>
                <w:sz w:val="22"/>
                <w:szCs w:val="22"/>
              </w:rPr>
              <w:t>Pertinence du projet</w:t>
            </w:r>
          </w:p>
          <w:p w14:paraId="26423800" w14:textId="77777777" w:rsidR="00E44165" w:rsidRDefault="001E407B" w:rsidP="001E407B">
            <w:pPr>
              <w:pStyle w:val="ListParagraph"/>
              <w:numPr>
                <w:ilvl w:val="1"/>
                <w:numId w:val="10"/>
              </w:numPr>
              <w:spacing w:before="120" w:line="276" w:lineRule="auto"/>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Prise en compte claire et argumentée des besoins identifiés</w:t>
            </w:r>
          </w:p>
          <w:p w14:paraId="03FABBC9" w14:textId="77777777" w:rsidR="001E407B" w:rsidRDefault="001E407B" w:rsidP="001E407B">
            <w:pPr>
              <w:pStyle w:val="ListParagraph"/>
              <w:numPr>
                <w:ilvl w:val="1"/>
                <w:numId w:val="10"/>
              </w:numPr>
              <w:spacing w:before="120" w:line="276" w:lineRule="auto"/>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Contribution à une offre en inclusion numérique diverse et de qualité </w:t>
            </w:r>
          </w:p>
          <w:p w14:paraId="2C87A6CB" w14:textId="77777777" w:rsidR="001E407B" w:rsidRDefault="001E407B" w:rsidP="001E407B">
            <w:pPr>
              <w:pStyle w:val="ListParagraph"/>
              <w:numPr>
                <w:ilvl w:val="1"/>
                <w:numId w:val="10"/>
              </w:numPr>
              <w:spacing w:before="120" w:line="276" w:lineRule="auto"/>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Implication des publics dans la conception, la mise en œuvre et/ou l’évaluation du projet. </w:t>
            </w:r>
          </w:p>
          <w:p w14:paraId="33B4403D" w14:textId="77777777" w:rsidR="001E407B" w:rsidRDefault="001E407B" w:rsidP="001E407B">
            <w:pPr>
              <w:pStyle w:val="ListParagraph"/>
              <w:numPr>
                <w:ilvl w:val="0"/>
                <w:numId w:val="10"/>
              </w:numPr>
              <w:spacing w:before="120" w:line="276" w:lineRule="auto"/>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Impact </w:t>
            </w:r>
          </w:p>
          <w:p w14:paraId="0AA018ED" w14:textId="77777777" w:rsidR="001E407B" w:rsidRDefault="001E407B" w:rsidP="001E407B">
            <w:pPr>
              <w:pStyle w:val="ListParagraph"/>
              <w:numPr>
                <w:ilvl w:val="1"/>
                <w:numId w:val="10"/>
              </w:numPr>
              <w:spacing w:before="120" w:line="276" w:lineRule="auto"/>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Identification claire des publics bénéficiaires : nombre et diversité des bénéficiaires touchés </w:t>
            </w:r>
          </w:p>
          <w:p w14:paraId="4FB95435" w14:textId="77777777" w:rsidR="001E407B" w:rsidRDefault="001E407B" w:rsidP="001E407B">
            <w:pPr>
              <w:pStyle w:val="ListParagraph"/>
              <w:numPr>
                <w:ilvl w:val="1"/>
                <w:numId w:val="10"/>
              </w:numPr>
              <w:spacing w:before="120" w:line="276" w:lineRule="auto"/>
              <w:jc w:val="both"/>
              <w:cnfStyle w:val="000000000000" w:firstRow="0" w:lastRow="0" w:firstColumn="0" w:lastColumn="0" w:oddVBand="0" w:evenVBand="0" w:oddHBand="0" w:evenHBand="0" w:firstRowFirstColumn="0" w:firstRowLastColumn="0" w:lastRowFirstColumn="0" w:lastRowLastColumn="0"/>
              <w:rPr>
                <w:sz w:val="22"/>
                <w:szCs w:val="22"/>
              </w:rPr>
            </w:pPr>
            <w:r w:rsidRPr="001E407B">
              <w:rPr>
                <w:sz w:val="22"/>
                <w:szCs w:val="22"/>
              </w:rPr>
              <w:t>Apport(s) concret(s) du pr</w:t>
            </w:r>
            <w:r>
              <w:rPr>
                <w:sz w:val="22"/>
                <w:szCs w:val="22"/>
              </w:rPr>
              <w:t xml:space="preserve">ojet pour le public cible, en lien avec les besoins identifiés et les enjeux sociaux </w:t>
            </w:r>
          </w:p>
          <w:p w14:paraId="082C0426" w14:textId="77777777" w:rsidR="001E407B" w:rsidRDefault="001E407B" w:rsidP="001E407B">
            <w:pPr>
              <w:pStyle w:val="ListParagraph"/>
              <w:numPr>
                <w:ilvl w:val="1"/>
                <w:numId w:val="10"/>
              </w:numPr>
              <w:spacing w:before="120" w:line="276" w:lineRule="auto"/>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Gestion des risques </w:t>
            </w:r>
          </w:p>
          <w:p w14:paraId="47E95A5A" w14:textId="77777777" w:rsidR="001E407B" w:rsidRDefault="001E407B" w:rsidP="001E407B">
            <w:pPr>
              <w:pStyle w:val="ListParagraph"/>
              <w:numPr>
                <w:ilvl w:val="0"/>
                <w:numId w:val="10"/>
              </w:numPr>
              <w:spacing w:before="120" w:line="276" w:lineRule="auto"/>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Qualité de la méthodologie et des activités </w:t>
            </w:r>
          </w:p>
          <w:p w14:paraId="06DB1133" w14:textId="77777777" w:rsidR="001E407B" w:rsidRDefault="001E407B" w:rsidP="001E407B">
            <w:pPr>
              <w:pStyle w:val="ListParagraph"/>
              <w:numPr>
                <w:ilvl w:val="1"/>
                <w:numId w:val="10"/>
              </w:numPr>
              <w:spacing w:before="120" w:line="276" w:lineRule="auto"/>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lastRenderedPageBreak/>
              <w:t>Clarté des actions proposées et répartition des rôles/tâches</w:t>
            </w:r>
          </w:p>
          <w:p w14:paraId="52DED928" w14:textId="77777777" w:rsidR="001E407B" w:rsidRDefault="001E407B" w:rsidP="001E407B">
            <w:pPr>
              <w:pStyle w:val="ListParagraph"/>
              <w:numPr>
                <w:ilvl w:val="1"/>
                <w:numId w:val="10"/>
              </w:numPr>
              <w:spacing w:before="120" w:line="276" w:lineRule="auto"/>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Innovation ou caractère différenciant par rapport aux initiatives déjà existantes </w:t>
            </w:r>
          </w:p>
          <w:p w14:paraId="6BD36866" w14:textId="77777777" w:rsidR="001E407B" w:rsidRDefault="001E407B" w:rsidP="001E407B">
            <w:pPr>
              <w:pStyle w:val="ListParagraph"/>
              <w:numPr>
                <w:ilvl w:val="1"/>
                <w:numId w:val="10"/>
              </w:numPr>
              <w:spacing w:before="120" w:line="276" w:lineRule="auto"/>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Suivi et évaluation du projet à l’aide d’indicateurs pertinents et d’outils permettant de mesurer les progrès et les résultats obtenus</w:t>
            </w:r>
          </w:p>
          <w:p w14:paraId="76A292AB" w14:textId="77777777" w:rsidR="001E407B" w:rsidRDefault="001E407B" w:rsidP="001E407B">
            <w:pPr>
              <w:pStyle w:val="ListParagraph"/>
              <w:numPr>
                <w:ilvl w:val="0"/>
                <w:numId w:val="10"/>
              </w:numPr>
              <w:spacing w:before="120" w:line="276" w:lineRule="auto"/>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Faisabilité et viabilité </w:t>
            </w:r>
          </w:p>
          <w:p w14:paraId="0A71D5DA" w14:textId="574D4FAB" w:rsidR="001E407B" w:rsidRDefault="004B537D" w:rsidP="001E407B">
            <w:pPr>
              <w:pStyle w:val="ListParagraph"/>
              <w:numPr>
                <w:ilvl w:val="1"/>
                <w:numId w:val="10"/>
              </w:numPr>
              <w:spacing w:before="120" w:line="276" w:lineRule="auto"/>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Compétences et expérience </w:t>
            </w:r>
            <w:r w:rsidR="001E407B">
              <w:rPr>
                <w:sz w:val="22"/>
                <w:szCs w:val="22"/>
              </w:rPr>
              <w:t>professionnelle</w:t>
            </w:r>
            <w:r>
              <w:rPr>
                <w:sz w:val="22"/>
                <w:szCs w:val="22"/>
              </w:rPr>
              <w:t>s</w:t>
            </w:r>
            <w:r w:rsidR="001E407B">
              <w:rPr>
                <w:sz w:val="22"/>
                <w:szCs w:val="22"/>
              </w:rPr>
              <w:t xml:space="preserve"> du porteur de projet </w:t>
            </w:r>
            <w:r>
              <w:rPr>
                <w:sz w:val="22"/>
                <w:szCs w:val="22"/>
              </w:rPr>
              <w:t xml:space="preserve">en lien avec le projet </w:t>
            </w:r>
          </w:p>
          <w:p w14:paraId="00C41668" w14:textId="77777777" w:rsidR="001E407B" w:rsidRDefault="001E407B" w:rsidP="001E407B">
            <w:pPr>
              <w:pStyle w:val="ListParagraph"/>
              <w:numPr>
                <w:ilvl w:val="1"/>
                <w:numId w:val="10"/>
              </w:numPr>
              <w:spacing w:before="120" w:line="276" w:lineRule="auto"/>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Calendrier adapté à la durée de la période de financement</w:t>
            </w:r>
          </w:p>
          <w:p w14:paraId="735D6F5B" w14:textId="77777777" w:rsidR="001E407B" w:rsidRDefault="001E407B" w:rsidP="001E407B">
            <w:pPr>
              <w:pStyle w:val="ListParagraph"/>
              <w:numPr>
                <w:ilvl w:val="1"/>
                <w:numId w:val="10"/>
              </w:numPr>
              <w:spacing w:before="120" w:line="276" w:lineRule="auto"/>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Budget cohérent, transparent et proportionné aux objectifs</w:t>
            </w:r>
          </w:p>
          <w:p w14:paraId="26448913" w14:textId="21813E8B" w:rsidR="001E407B" w:rsidRPr="001E407B" w:rsidRDefault="001E407B" w:rsidP="001E407B">
            <w:pPr>
              <w:pStyle w:val="ListParagraph"/>
              <w:numPr>
                <w:ilvl w:val="1"/>
                <w:numId w:val="10"/>
              </w:numPr>
              <w:spacing w:before="120" w:line="276" w:lineRule="auto"/>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Potentiel de durabilité et d’effet multiplicateur du projet </w:t>
            </w:r>
          </w:p>
        </w:tc>
      </w:tr>
      <w:tr w:rsidR="009B65D6" w:rsidRPr="00757CAD" w14:paraId="5893692A" w14:textId="77777777" w:rsidTr="0B3BD5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528615CB" w14:textId="3C0DAD5E" w:rsidR="009B65D6" w:rsidRPr="0053156B" w:rsidRDefault="0B3BD5ED" w:rsidP="0B3BD5ED">
            <w:pPr>
              <w:tabs>
                <w:tab w:val="left" w:pos="3812"/>
              </w:tabs>
              <w:spacing w:before="120" w:after="120" w:line="276" w:lineRule="auto"/>
              <w:jc w:val="both"/>
              <w:rPr>
                <w:sz w:val="22"/>
                <w:szCs w:val="22"/>
              </w:rPr>
            </w:pPr>
            <w:r w:rsidRPr="0B3BD5ED">
              <w:rPr>
                <w:sz w:val="22"/>
                <w:szCs w:val="22"/>
              </w:rPr>
              <w:lastRenderedPageBreak/>
              <w:t>Indicateurs à prévoir</w:t>
            </w:r>
          </w:p>
        </w:tc>
        <w:tc>
          <w:tcPr>
            <w:tcW w:w="7371" w:type="dxa"/>
          </w:tcPr>
          <w:p w14:paraId="37F531E1" w14:textId="59C8BBA8" w:rsidR="00C34183" w:rsidRPr="00C45390" w:rsidRDefault="00EE5540" w:rsidP="00C45390">
            <w:pPr>
              <w:spacing w:before="120" w:line="276" w:lineRule="auto"/>
              <w:jc w:val="both"/>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Parmi </w:t>
            </w:r>
            <w:r w:rsidR="00750655">
              <w:rPr>
                <w:sz w:val="22"/>
                <w:szCs w:val="22"/>
              </w:rPr>
              <w:t>les indicateurs suivants</w:t>
            </w:r>
            <w:r>
              <w:rPr>
                <w:sz w:val="22"/>
                <w:szCs w:val="22"/>
              </w:rPr>
              <w:t>, prévoir ceux</w:t>
            </w:r>
            <w:r w:rsidR="00C34183">
              <w:rPr>
                <w:sz w:val="22"/>
                <w:szCs w:val="22"/>
              </w:rPr>
              <w:t xml:space="preserve"> </w:t>
            </w:r>
            <w:r>
              <w:rPr>
                <w:sz w:val="22"/>
                <w:szCs w:val="22"/>
              </w:rPr>
              <w:t>pertinents pour le projet proposé :</w:t>
            </w:r>
            <w:r w:rsidR="00C34183">
              <w:rPr>
                <w:sz w:val="22"/>
                <w:szCs w:val="22"/>
              </w:rPr>
              <w:t xml:space="preserve"> </w:t>
            </w:r>
          </w:p>
          <w:p w14:paraId="73C0B654" w14:textId="1B2A11AF" w:rsidR="009B65D6" w:rsidRDefault="0B3BD5ED" w:rsidP="0B3BD5ED">
            <w:pPr>
              <w:pStyle w:val="ListParagraph"/>
              <w:numPr>
                <w:ilvl w:val="0"/>
                <w:numId w:val="4"/>
              </w:numPr>
              <w:spacing w:before="120" w:line="276" w:lineRule="auto"/>
              <w:jc w:val="both"/>
              <w:cnfStyle w:val="000000100000" w:firstRow="0" w:lastRow="0" w:firstColumn="0" w:lastColumn="0" w:oddVBand="0" w:evenVBand="0" w:oddHBand="1" w:evenHBand="0" w:firstRowFirstColumn="0" w:firstRowLastColumn="0" w:lastRowFirstColumn="0" w:lastRowLastColumn="0"/>
              <w:rPr>
                <w:sz w:val="22"/>
                <w:szCs w:val="22"/>
              </w:rPr>
            </w:pPr>
            <w:r w:rsidRPr="0B3BD5ED">
              <w:rPr>
                <w:sz w:val="22"/>
                <w:szCs w:val="22"/>
              </w:rPr>
              <w:t>Nombre de personnes visées</w:t>
            </w:r>
          </w:p>
          <w:p w14:paraId="4D1669BB" w14:textId="4730100E" w:rsidR="009749AF" w:rsidRPr="0053156B" w:rsidRDefault="0B3BD5ED" w:rsidP="0B3BD5ED">
            <w:pPr>
              <w:pStyle w:val="ListParagraph"/>
              <w:numPr>
                <w:ilvl w:val="0"/>
                <w:numId w:val="4"/>
              </w:numPr>
              <w:spacing w:before="120" w:line="276" w:lineRule="auto"/>
              <w:jc w:val="both"/>
              <w:cnfStyle w:val="000000100000" w:firstRow="0" w:lastRow="0" w:firstColumn="0" w:lastColumn="0" w:oddVBand="0" w:evenVBand="0" w:oddHBand="1" w:evenHBand="0" w:firstRowFirstColumn="0" w:firstRowLastColumn="0" w:lastRowFirstColumn="0" w:lastRowLastColumn="0"/>
              <w:rPr>
                <w:sz w:val="22"/>
                <w:szCs w:val="22"/>
              </w:rPr>
            </w:pPr>
            <w:r w:rsidRPr="0B3BD5ED">
              <w:rPr>
                <w:sz w:val="22"/>
                <w:szCs w:val="22"/>
              </w:rPr>
              <w:t>Durée</w:t>
            </w:r>
          </w:p>
          <w:p w14:paraId="431FA3C9" w14:textId="77777777" w:rsidR="009B65D6" w:rsidRPr="0053156B" w:rsidRDefault="0B3BD5ED" w:rsidP="0B3BD5ED">
            <w:pPr>
              <w:pStyle w:val="ListParagraph"/>
              <w:numPr>
                <w:ilvl w:val="0"/>
                <w:numId w:val="4"/>
              </w:numPr>
              <w:spacing w:before="120" w:line="276" w:lineRule="auto"/>
              <w:jc w:val="both"/>
              <w:cnfStyle w:val="000000100000" w:firstRow="0" w:lastRow="0" w:firstColumn="0" w:lastColumn="0" w:oddVBand="0" w:evenVBand="0" w:oddHBand="1" w:evenHBand="0" w:firstRowFirstColumn="0" w:firstRowLastColumn="0" w:lastRowFirstColumn="0" w:lastRowLastColumn="0"/>
              <w:rPr>
                <w:sz w:val="22"/>
                <w:szCs w:val="22"/>
              </w:rPr>
            </w:pPr>
            <w:r w:rsidRPr="0B3BD5ED">
              <w:rPr>
                <w:sz w:val="22"/>
                <w:szCs w:val="22"/>
              </w:rPr>
              <w:t>Diversité et profil des participants (nationalité, âge, genre, ...)</w:t>
            </w:r>
          </w:p>
          <w:p w14:paraId="2FDB25D2" w14:textId="77777777" w:rsidR="009B65D6" w:rsidRPr="0053156B" w:rsidRDefault="0B3BD5ED" w:rsidP="0B3BD5ED">
            <w:pPr>
              <w:pStyle w:val="ListParagraph"/>
              <w:numPr>
                <w:ilvl w:val="0"/>
                <w:numId w:val="4"/>
              </w:numPr>
              <w:spacing w:before="120" w:line="276" w:lineRule="auto"/>
              <w:jc w:val="both"/>
              <w:cnfStyle w:val="000000100000" w:firstRow="0" w:lastRow="0" w:firstColumn="0" w:lastColumn="0" w:oddVBand="0" w:evenVBand="0" w:oddHBand="1" w:evenHBand="0" w:firstRowFirstColumn="0" w:firstRowLastColumn="0" w:lastRowFirstColumn="0" w:lastRowLastColumn="0"/>
              <w:rPr>
                <w:sz w:val="22"/>
                <w:szCs w:val="22"/>
              </w:rPr>
            </w:pPr>
            <w:r w:rsidRPr="0B3BD5ED">
              <w:rPr>
                <w:sz w:val="22"/>
                <w:szCs w:val="22"/>
              </w:rPr>
              <w:t>Nombre d’activités à réaliser</w:t>
            </w:r>
          </w:p>
          <w:p w14:paraId="0546ADED" w14:textId="77777777" w:rsidR="009B65D6" w:rsidRPr="0053156B" w:rsidRDefault="0B3BD5ED" w:rsidP="0B3BD5ED">
            <w:pPr>
              <w:pStyle w:val="ListParagraph"/>
              <w:numPr>
                <w:ilvl w:val="0"/>
                <w:numId w:val="4"/>
              </w:numPr>
              <w:spacing w:before="120" w:line="276" w:lineRule="auto"/>
              <w:jc w:val="both"/>
              <w:cnfStyle w:val="000000100000" w:firstRow="0" w:lastRow="0" w:firstColumn="0" w:lastColumn="0" w:oddVBand="0" w:evenVBand="0" w:oddHBand="1" w:evenHBand="0" w:firstRowFirstColumn="0" w:firstRowLastColumn="0" w:lastRowFirstColumn="0" w:lastRowLastColumn="0"/>
              <w:rPr>
                <w:sz w:val="22"/>
                <w:szCs w:val="22"/>
              </w:rPr>
            </w:pPr>
            <w:r w:rsidRPr="0B3BD5ED">
              <w:rPr>
                <w:sz w:val="22"/>
                <w:szCs w:val="22"/>
              </w:rPr>
              <w:t xml:space="preserve">Nombre et type de partenaires </w:t>
            </w:r>
          </w:p>
          <w:p w14:paraId="4C77E430" w14:textId="77777777" w:rsidR="009B65D6" w:rsidRDefault="0B3BD5ED" w:rsidP="0B3BD5ED">
            <w:pPr>
              <w:pStyle w:val="ListParagraph"/>
              <w:numPr>
                <w:ilvl w:val="0"/>
                <w:numId w:val="4"/>
              </w:numPr>
              <w:spacing w:before="120" w:line="276" w:lineRule="auto"/>
              <w:jc w:val="both"/>
              <w:cnfStyle w:val="000000100000" w:firstRow="0" w:lastRow="0" w:firstColumn="0" w:lastColumn="0" w:oddVBand="0" w:evenVBand="0" w:oddHBand="1" w:evenHBand="0" w:firstRowFirstColumn="0" w:firstRowLastColumn="0" w:lastRowFirstColumn="0" w:lastRowLastColumn="0"/>
              <w:rPr>
                <w:sz w:val="22"/>
                <w:szCs w:val="22"/>
              </w:rPr>
            </w:pPr>
            <w:r w:rsidRPr="0B3BD5ED">
              <w:rPr>
                <w:sz w:val="22"/>
                <w:szCs w:val="22"/>
              </w:rPr>
              <w:t>Nombre d’outils et de supports à développer</w:t>
            </w:r>
          </w:p>
          <w:p w14:paraId="7CFEDDE4" w14:textId="19F0F872" w:rsidR="009B65D6" w:rsidRPr="009B65D6" w:rsidRDefault="0B3BD5ED" w:rsidP="0B3BD5ED">
            <w:pPr>
              <w:pStyle w:val="ListParagraph"/>
              <w:numPr>
                <w:ilvl w:val="0"/>
                <w:numId w:val="4"/>
              </w:numPr>
              <w:spacing w:before="120" w:line="276" w:lineRule="auto"/>
              <w:jc w:val="both"/>
              <w:cnfStyle w:val="000000100000" w:firstRow="0" w:lastRow="0" w:firstColumn="0" w:lastColumn="0" w:oddVBand="0" w:evenVBand="0" w:oddHBand="1" w:evenHBand="0" w:firstRowFirstColumn="0" w:firstRowLastColumn="0" w:lastRowFirstColumn="0" w:lastRowLastColumn="0"/>
              <w:rPr>
                <w:sz w:val="22"/>
                <w:szCs w:val="22"/>
              </w:rPr>
            </w:pPr>
            <w:r w:rsidRPr="0B3BD5ED">
              <w:rPr>
                <w:sz w:val="22"/>
                <w:szCs w:val="22"/>
              </w:rPr>
              <w:t>Outils et méthode d’évaluation des résultats du projet</w:t>
            </w:r>
          </w:p>
        </w:tc>
      </w:tr>
      <w:tr w:rsidR="009B65D6" w:rsidRPr="00757CAD" w14:paraId="753A68D6" w14:textId="77777777" w:rsidTr="0B3BD5ED">
        <w:tc>
          <w:tcPr>
            <w:cnfStyle w:val="001000000000" w:firstRow="0" w:lastRow="0" w:firstColumn="1" w:lastColumn="0" w:oddVBand="0" w:evenVBand="0" w:oddHBand="0" w:evenHBand="0" w:firstRowFirstColumn="0" w:firstRowLastColumn="0" w:lastRowFirstColumn="0" w:lastRowLastColumn="0"/>
            <w:tcW w:w="3119" w:type="dxa"/>
          </w:tcPr>
          <w:p w14:paraId="608229B9" w14:textId="65771FFE" w:rsidR="009B65D6" w:rsidRPr="0053156B" w:rsidRDefault="0B3BD5ED" w:rsidP="0B3BD5ED">
            <w:pPr>
              <w:tabs>
                <w:tab w:val="left" w:pos="3812"/>
              </w:tabs>
              <w:spacing w:before="120" w:after="120" w:line="276" w:lineRule="auto"/>
              <w:jc w:val="both"/>
              <w:rPr>
                <w:sz w:val="22"/>
                <w:szCs w:val="22"/>
              </w:rPr>
            </w:pPr>
            <w:r w:rsidRPr="0B3BD5ED">
              <w:rPr>
                <w:sz w:val="22"/>
                <w:szCs w:val="22"/>
              </w:rPr>
              <w:t>Critères d’exclusion</w:t>
            </w:r>
          </w:p>
        </w:tc>
        <w:tc>
          <w:tcPr>
            <w:tcW w:w="7371" w:type="dxa"/>
          </w:tcPr>
          <w:p w14:paraId="6B442536" w14:textId="653E4058" w:rsidR="00403D86" w:rsidRDefault="0B3BD5ED" w:rsidP="0B3BD5ED">
            <w:pPr>
              <w:spacing w:before="120" w:line="276" w:lineRule="auto"/>
              <w:jc w:val="both"/>
              <w:cnfStyle w:val="000000000000" w:firstRow="0" w:lastRow="0" w:firstColumn="0" w:lastColumn="0" w:oddVBand="0" w:evenVBand="0" w:oddHBand="0" w:evenHBand="0" w:firstRowFirstColumn="0" w:firstRowLastColumn="0" w:lastRowFirstColumn="0" w:lastRowLastColumn="0"/>
              <w:rPr>
                <w:sz w:val="22"/>
                <w:szCs w:val="22"/>
              </w:rPr>
            </w:pPr>
            <w:r w:rsidRPr="0B3BD5ED">
              <w:rPr>
                <w:sz w:val="22"/>
                <w:szCs w:val="22"/>
              </w:rPr>
              <w:t xml:space="preserve">Sont exclues les personnes physiques. </w:t>
            </w:r>
          </w:p>
          <w:p w14:paraId="20375E57" w14:textId="66E3698C" w:rsidR="008C0FBD" w:rsidRDefault="008C0FBD" w:rsidP="00306C31">
            <w:pPr>
              <w:spacing w:before="120" w:line="276" w:lineRule="auto"/>
              <w:jc w:val="both"/>
              <w:cnfStyle w:val="000000000000" w:firstRow="0" w:lastRow="0" w:firstColumn="0" w:lastColumn="0" w:oddVBand="0" w:evenVBand="0" w:oddHBand="0" w:evenHBand="0" w:firstRowFirstColumn="0" w:firstRowLastColumn="0" w:lastRowFirstColumn="0" w:lastRowLastColumn="0"/>
              <w:rPr>
                <w:sz w:val="22"/>
                <w:szCs w:val="22"/>
              </w:rPr>
            </w:pPr>
            <w:r w:rsidRPr="005D1357">
              <w:rPr>
                <w:sz w:val="22"/>
                <w:szCs w:val="22"/>
              </w:rPr>
              <w:t xml:space="preserve">Le financement de projets réalisés </w:t>
            </w:r>
            <w:r w:rsidR="005D1357" w:rsidRPr="005D1357">
              <w:rPr>
                <w:sz w:val="22"/>
                <w:szCs w:val="22"/>
              </w:rPr>
              <w:t>en sous-traitance</w:t>
            </w:r>
            <w:r w:rsidRPr="005D1357">
              <w:rPr>
                <w:sz w:val="22"/>
                <w:szCs w:val="22"/>
              </w:rPr>
              <w:t xml:space="preserve"> est exclu.</w:t>
            </w:r>
            <w:r w:rsidR="00306C31">
              <w:t xml:space="preserve"> </w:t>
            </w:r>
            <w:r w:rsidR="00306C31" w:rsidRPr="00306C31">
              <w:rPr>
                <w:sz w:val="22"/>
                <w:szCs w:val="22"/>
              </w:rPr>
              <w:t>La sous-traitance pour réaliser les projets ne pourra être acceptée que dans des c</w:t>
            </w:r>
            <w:r w:rsidR="00306C31">
              <w:rPr>
                <w:sz w:val="22"/>
                <w:szCs w:val="22"/>
              </w:rPr>
              <w:t>as exceptionnels dûment motivés</w:t>
            </w:r>
            <w:r w:rsidR="00E622D9">
              <w:rPr>
                <w:sz w:val="22"/>
                <w:szCs w:val="22"/>
              </w:rPr>
              <w:t>.</w:t>
            </w:r>
          </w:p>
          <w:p w14:paraId="55089F28" w14:textId="74FC8159" w:rsidR="008C0FBD" w:rsidRDefault="0B3BD5ED" w:rsidP="0B3BD5ED">
            <w:pPr>
              <w:spacing w:before="120" w:line="276" w:lineRule="auto"/>
              <w:jc w:val="both"/>
              <w:cnfStyle w:val="000000000000" w:firstRow="0" w:lastRow="0" w:firstColumn="0" w:lastColumn="0" w:oddVBand="0" w:evenVBand="0" w:oddHBand="0" w:evenHBand="0" w:firstRowFirstColumn="0" w:firstRowLastColumn="0" w:lastRowFirstColumn="0" w:lastRowLastColumn="0"/>
              <w:rPr>
                <w:sz w:val="22"/>
                <w:szCs w:val="22"/>
              </w:rPr>
            </w:pPr>
            <w:r w:rsidRPr="0B3BD5ED">
              <w:rPr>
                <w:sz w:val="22"/>
                <w:szCs w:val="22"/>
              </w:rPr>
              <w:t>Le financement de structures est exclu, seuls des projets peuvent faire l’objet d’une demande de financement.</w:t>
            </w:r>
          </w:p>
          <w:p w14:paraId="49A12DB8" w14:textId="77777777" w:rsidR="00CA18D4" w:rsidRDefault="0B3BD5ED" w:rsidP="0B3BD5ED">
            <w:pPr>
              <w:spacing w:before="120" w:line="276" w:lineRule="auto"/>
              <w:jc w:val="both"/>
              <w:cnfStyle w:val="000000000000" w:firstRow="0" w:lastRow="0" w:firstColumn="0" w:lastColumn="0" w:oddVBand="0" w:evenVBand="0" w:oddHBand="0" w:evenHBand="0" w:firstRowFirstColumn="0" w:firstRowLastColumn="0" w:lastRowFirstColumn="0" w:lastRowLastColumn="0"/>
              <w:rPr>
                <w:sz w:val="22"/>
                <w:szCs w:val="22"/>
              </w:rPr>
            </w:pPr>
            <w:r w:rsidRPr="0B3BD5ED">
              <w:rPr>
                <w:sz w:val="22"/>
                <w:szCs w:val="22"/>
              </w:rPr>
              <w:t>Le financement de projets avec but commercial est exclu, seuls des projets sans but lucre et commercial peuvent faire l’objet d’une demande de financement.</w:t>
            </w:r>
          </w:p>
          <w:p w14:paraId="7C877FAF" w14:textId="7797990F" w:rsidR="0078121D" w:rsidRPr="00694140" w:rsidRDefault="0078121D" w:rsidP="0B3BD5ED">
            <w:pPr>
              <w:spacing w:before="120" w:line="276" w:lineRule="auto"/>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Les projets qui ont reçu un financement lors de l’appel à projets précédent sont exclus.</w:t>
            </w:r>
          </w:p>
        </w:tc>
      </w:tr>
      <w:tr w:rsidR="009B65D6" w:rsidRPr="00757CAD" w14:paraId="5261388F" w14:textId="77777777" w:rsidTr="0B3BD5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4FDD5CFE" w14:textId="77777777" w:rsidR="009B65D6" w:rsidRPr="0051227E" w:rsidRDefault="0B3BD5ED" w:rsidP="0B3BD5ED">
            <w:pPr>
              <w:tabs>
                <w:tab w:val="left" w:pos="3812"/>
              </w:tabs>
              <w:spacing w:before="120" w:after="120" w:line="276" w:lineRule="auto"/>
              <w:jc w:val="both"/>
              <w:rPr>
                <w:sz w:val="22"/>
                <w:szCs w:val="22"/>
              </w:rPr>
            </w:pPr>
            <w:r w:rsidRPr="0B3BD5ED">
              <w:rPr>
                <w:sz w:val="22"/>
                <w:szCs w:val="22"/>
              </w:rPr>
              <w:t>Indications financières</w:t>
            </w:r>
          </w:p>
        </w:tc>
        <w:tc>
          <w:tcPr>
            <w:tcW w:w="7371" w:type="dxa"/>
          </w:tcPr>
          <w:p w14:paraId="7A455F2D" w14:textId="18AC6AED" w:rsidR="009B65D6" w:rsidRPr="0051227E" w:rsidRDefault="0B3BD5ED" w:rsidP="0B3BD5ED">
            <w:pPr>
              <w:pStyle w:val="ListParagraph"/>
              <w:autoSpaceDE w:val="0"/>
              <w:spacing w:before="120" w:line="276" w:lineRule="auto"/>
              <w:ind w:left="0"/>
              <w:jc w:val="both"/>
              <w:cnfStyle w:val="000000100000" w:firstRow="0" w:lastRow="0" w:firstColumn="0" w:lastColumn="0" w:oddVBand="0" w:evenVBand="0" w:oddHBand="1" w:evenHBand="0" w:firstRowFirstColumn="0" w:firstRowLastColumn="0" w:lastRowFirstColumn="0" w:lastRowLastColumn="0"/>
              <w:rPr>
                <w:sz w:val="22"/>
                <w:szCs w:val="22"/>
              </w:rPr>
            </w:pPr>
            <w:r w:rsidRPr="0B3BD5ED">
              <w:rPr>
                <w:color w:val="000000" w:themeColor="text1"/>
                <w:sz w:val="22"/>
                <w:szCs w:val="22"/>
              </w:rPr>
              <w:t xml:space="preserve">Projet(s) éligible(s) d’un montant minimal de </w:t>
            </w:r>
            <w:r w:rsidR="007555A4">
              <w:rPr>
                <w:color w:val="000000" w:themeColor="text1"/>
                <w:sz w:val="22"/>
                <w:szCs w:val="22"/>
              </w:rPr>
              <w:t>5.000</w:t>
            </w:r>
            <w:r w:rsidRPr="0B3BD5ED">
              <w:rPr>
                <w:color w:val="000000" w:themeColor="text1"/>
                <w:sz w:val="22"/>
                <w:szCs w:val="22"/>
              </w:rPr>
              <w:t xml:space="preserve"> € </w:t>
            </w:r>
          </w:p>
        </w:tc>
      </w:tr>
      <w:tr w:rsidR="009B65D6" w:rsidRPr="00757CAD" w14:paraId="111EB19F" w14:textId="77777777" w:rsidTr="0B3BD5ED">
        <w:tc>
          <w:tcPr>
            <w:cnfStyle w:val="001000000000" w:firstRow="0" w:lastRow="0" w:firstColumn="1" w:lastColumn="0" w:oddVBand="0" w:evenVBand="0" w:oddHBand="0" w:evenHBand="0" w:firstRowFirstColumn="0" w:firstRowLastColumn="0" w:lastRowFirstColumn="0" w:lastRowLastColumn="0"/>
            <w:tcW w:w="3119" w:type="dxa"/>
          </w:tcPr>
          <w:p w14:paraId="4418ED02" w14:textId="611AD98D" w:rsidR="009B65D6" w:rsidRPr="0051227E" w:rsidRDefault="0B3BD5ED" w:rsidP="0B3BD5ED">
            <w:pPr>
              <w:tabs>
                <w:tab w:val="left" w:pos="3812"/>
              </w:tabs>
              <w:spacing w:before="120" w:after="120" w:line="276" w:lineRule="auto"/>
              <w:jc w:val="both"/>
              <w:rPr>
                <w:sz w:val="22"/>
                <w:szCs w:val="22"/>
              </w:rPr>
            </w:pPr>
            <w:r w:rsidRPr="0B3BD5ED">
              <w:rPr>
                <w:sz w:val="22"/>
                <w:szCs w:val="22"/>
              </w:rPr>
              <w:t>Période d’éligibilité</w:t>
            </w:r>
          </w:p>
        </w:tc>
        <w:tc>
          <w:tcPr>
            <w:tcW w:w="7371" w:type="dxa"/>
          </w:tcPr>
          <w:p w14:paraId="0B492BB7" w14:textId="3E98EAC2" w:rsidR="009B65D6" w:rsidRPr="0051227E" w:rsidRDefault="0B3BD5ED" w:rsidP="008C0FBD">
            <w:pPr>
              <w:pStyle w:val="ListParagraph"/>
              <w:autoSpaceDE w:val="0"/>
              <w:spacing w:before="120" w:line="276" w:lineRule="auto"/>
              <w:ind w:left="0"/>
              <w:jc w:val="both"/>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B3BD5ED">
              <w:rPr>
                <w:sz w:val="22"/>
                <w:szCs w:val="22"/>
              </w:rPr>
              <w:t>Sont éligibles les projets réalisés entre le 01</w:t>
            </w:r>
            <w:r w:rsidR="00CC3C01">
              <w:rPr>
                <w:sz w:val="22"/>
                <w:szCs w:val="22"/>
              </w:rPr>
              <w:t>.</w:t>
            </w:r>
            <w:r w:rsidRPr="0B3BD5ED">
              <w:rPr>
                <w:sz w:val="22"/>
                <w:szCs w:val="22"/>
              </w:rPr>
              <w:t>07</w:t>
            </w:r>
            <w:r w:rsidR="00CC3C01">
              <w:rPr>
                <w:sz w:val="22"/>
                <w:szCs w:val="22"/>
              </w:rPr>
              <w:t>.</w:t>
            </w:r>
            <w:r w:rsidRPr="0B3BD5ED">
              <w:rPr>
                <w:sz w:val="22"/>
                <w:szCs w:val="22"/>
              </w:rPr>
              <w:t>202</w:t>
            </w:r>
            <w:r w:rsidR="000B4086">
              <w:rPr>
                <w:sz w:val="22"/>
                <w:szCs w:val="22"/>
              </w:rPr>
              <w:t>6</w:t>
            </w:r>
            <w:r w:rsidRPr="0B3BD5ED">
              <w:rPr>
                <w:sz w:val="22"/>
                <w:szCs w:val="22"/>
              </w:rPr>
              <w:t xml:space="preserve"> et le 30</w:t>
            </w:r>
            <w:r w:rsidR="00CC3C01">
              <w:rPr>
                <w:sz w:val="22"/>
                <w:szCs w:val="22"/>
              </w:rPr>
              <w:t>.</w:t>
            </w:r>
            <w:r w:rsidRPr="0B3BD5ED">
              <w:rPr>
                <w:sz w:val="22"/>
                <w:szCs w:val="22"/>
              </w:rPr>
              <w:t>06</w:t>
            </w:r>
            <w:r w:rsidR="00CC3C01">
              <w:rPr>
                <w:sz w:val="22"/>
                <w:szCs w:val="22"/>
              </w:rPr>
              <w:t>.</w:t>
            </w:r>
            <w:r w:rsidRPr="0B3BD5ED">
              <w:rPr>
                <w:sz w:val="22"/>
                <w:szCs w:val="22"/>
              </w:rPr>
              <w:t>202</w:t>
            </w:r>
            <w:r w:rsidR="000B4086">
              <w:rPr>
                <w:sz w:val="22"/>
                <w:szCs w:val="22"/>
              </w:rPr>
              <w:t>7</w:t>
            </w:r>
          </w:p>
        </w:tc>
      </w:tr>
      <w:tr w:rsidR="009B65D6" w:rsidRPr="00757CAD" w14:paraId="6DFBE9B0" w14:textId="77777777" w:rsidTr="0B3BD5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47829AB8" w14:textId="7440EA03" w:rsidR="009B65D6" w:rsidRPr="0053156B" w:rsidRDefault="0B3BD5ED" w:rsidP="0B3BD5ED">
            <w:pPr>
              <w:tabs>
                <w:tab w:val="left" w:pos="3812"/>
              </w:tabs>
              <w:spacing w:before="120" w:after="120" w:line="276" w:lineRule="auto"/>
              <w:jc w:val="both"/>
              <w:rPr>
                <w:sz w:val="22"/>
                <w:szCs w:val="22"/>
              </w:rPr>
            </w:pPr>
            <w:r w:rsidRPr="0B3BD5ED">
              <w:rPr>
                <w:sz w:val="22"/>
                <w:szCs w:val="22"/>
              </w:rPr>
              <w:lastRenderedPageBreak/>
              <w:t>Eligibilité des dépenses</w:t>
            </w:r>
          </w:p>
        </w:tc>
        <w:tc>
          <w:tcPr>
            <w:tcW w:w="7371" w:type="dxa"/>
          </w:tcPr>
          <w:p w14:paraId="795E76A3" w14:textId="6E54BA45" w:rsidR="009B65D6" w:rsidRPr="0053156B" w:rsidRDefault="0B3BD5ED" w:rsidP="0B3BD5ED">
            <w:pPr>
              <w:spacing w:before="120" w:line="276" w:lineRule="auto"/>
              <w:jc w:val="both"/>
              <w:cnfStyle w:val="000000100000" w:firstRow="0" w:lastRow="0" w:firstColumn="0" w:lastColumn="0" w:oddVBand="0" w:evenVBand="0" w:oddHBand="1" w:evenHBand="0" w:firstRowFirstColumn="0" w:firstRowLastColumn="0" w:lastRowFirstColumn="0" w:lastRowLastColumn="0"/>
              <w:rPr>
                <w:sz w:val="22"/>
                <w:szCs w:val="22"/>
              </w:rPr>
            </w:pPr>
            <w:r w:rsidRPr="0B3BD5ED">
              <w:rPr>
                <w:sz w:val="22"/>
                <w:szCs w:val="22"/>
              </w:rPr>
              <w:t>Sont admissibles les dépenses qui sont</w:t>
            </w:r>
            <w:r w:rsidR="00A53F11">
              <w:rPr>
                <w:sz w:val="22"/>
                <w:szCs w:val="22"/>
              </w:rPr>
              <w:t xml:space="preserve"> </w:t>
            </w:r>
            <w:r w:rsidRPr="0B3BD5ED">
              <w:rPr>
                <w:sz w:val="22"/>
                <w:szCs w:val="22"/>
              </w:rPr>
              <w:t>:</w:t>
            </w:r>
          </w:p>
          <w:p w14:paraId="37FA4DAA" w14:textId="77777777" w:rsidR="009B65D6" w:rsidRPr="0053156B" w:rsidRDefault="0B3BD5ED" w:rsidP="0B3BD5ED">
            <w:pPr>
              <w:pStyle w:val="ListParagraph"/>
              <w:numPr>
                <w:ilvl w:val="0"/>
                <w:numId w:val="6"/>
              </w:numPr>
              <w:spacing w:before="120" w:line="276" w:lineRule="auto"/>
              <w:jc w:val="both"/>
              <w:cnfStyle w:val="000000100000" w:firstRow="0" w:lastRow="0" w:firstColumn="0" w:lastColumn="0" w:oddVBand="0" w:evenVBand="0" w:oddHBand="1" w:evenHBand="0" w:firstRowFirstColumn="0" w:firstRowLastColumn="0" w:lastRowFirstColumn="0" w:lastRowLastColumn="0"/>
              <w:rPr>
                <w:sz w:val="22"/>
                <w:szCs w:val="22"/>
              </w:rPr>
            </w:pPr>
            <w:r w:rsidRPr="0B3BD5ED">
              <w:rPr>
                <w:sz w:val="22"/>
                <w:szCs w:val="22"/>
              </w:rPr>
              <w:t>En relation directe avec le projet et nécessaires pour mener à bien les activités du projet concerné</w:t>
            </w:r>
          </w:p>
          <w:p w14:paraId="188255BE" w14:textId="77777777" w:rsidR="009B65D6" w:rsidRPr="0053156B" w:rsidRDefault="0B3BD5ED" w:rsidP="0B3BD5ED">
            <w:pPr>
              <w:pStyle w:val="ListParagraph"/>
              <w:numPr>
                <w:ilvl w:val="0"/>
                <w:numId w:val="6"/>
              </w:numPr>
              <w:spacing w:before="120" w:line="276" w:lineRule="auto"/>
              <w:jc w:val="both"/>
              <w:cnfStyle w:val="000000100000" w:firstRow="0" w:lastRow="0" w:firstColumn="0" w:lastColumn="0" w:oddVBand="0" w:evenVBand="0" w:oddHBand="1" w:evenHBand="0" w:firstRowFirstColumn="0" w:firstRowLastColumn="0" w:lastRowFirstColumn="0" w:lastRowLastColumn="0"/>
              <w:rPr>
                <w:sz w:val="22"/>
                <w:szCs w:val="22"/>
              </w:rPr>
            </w:pPr>
            <w:r w:rsidRPr="0B3BD5ED">
              <w:rPr>
                <w:sz w:val="22"/>
                <w:szCs w:val="22"/>
              </w:rPr>
              <w:t xml:space="preserve">Raisonnables et respectant les principes de bonne gestion financière, en particulier celui de l'optimisation des ressources et le rapport coût-efficacité, notamment en fonction du nombre des personnes concernées par le projet </w:t>
            </w:r>
          </w:p>
          <w:p w14:paraId="3B161948" w14:textId="77777777" w:rsidR="00F3263E" w:rsidRDefault="0B3BD5ED" w:rsidP="0B3BD5ED">
            <w:pPr>
              <w:pStyle w:val="ListParagraph"/>
              <w:numPr>
                <w:ilvl w:val="0"/>
                <w:numId w:val="6"/>
              </w:numPr>
              <w:spacing w:before="120" w:line="276" w:lineRule="auto"/>
              <w:jc w:val="both"/>
              <w:cnfStyle w:val="000000100000" w:firstRow="0" w:lastRow="0" w:firstColumn="0" w:lastColumn="0" w:oddVBand="0" w:evenVBand="0" w:oddHBand="1" w:evenHBand="0" w:firstRowFirstColumn="0" w:firstRowLastColumn="0" w:lastRowFirstColumn="0" w:lastRowLastColumn="0"/>
              <w:rPr>
                <w:sz w:val="22"/>
                <w:szCs w:val="22"/>
              </w:rPr>
            </w:pPr>
            <w:r w:rsidRPr="0B3BD5ED">
              <w:rPr>
                <w:sz w:val="22"/>
                <w:szCs w:val="22"/>
              </w:rPr>
              <w:t>Enregistrées dans une comptabilité du porteur de projet, identifiables et contrôlables</w:t>
            </w:r>
          </w:p>
          <w:p w14:paraId="78765085" w14:textId="598279C8" w:rsidR="009B65D6" w:rsidRPr="00F3263E" w:rsidRDefault="0B3BD5ED" w:rsidP="0B3BD5ED">
            <w:pPr>
              <w:pStyle w:val="ListParagraph"/>
              <w:numPr>
                <w:ilvl w:val="0"/>
                <w:numId w:val="6"/>
              </w:numPr>
              <w:spacing w:before="120" w:line="276" w:lineRule="auto"/>
              <w:jc w:val="both"/>
              <w:cnfStyle w:val="000000100000" w:firstRow="0" w:lastRow="0" w:firstColumn="0" w:lastColumn="0" w:oddVBand="0" w:evenVBand="0" w:oddHBand="1" w:evenHBand="0" w:firstRowFirstColumn="0" w:firstRowLastColumn="0" w:lastRowFirstColumn="0" w:lastRowLastColumn="0"/>
              <w:rPr>
                <w:sz w:val="22"/>
                <w:szCs w:val="22"/>
              </w:rPr>
            </w:pPr>
            <w:r w:rsidRPr="0B3BD5ED">
              <w:rPr>
                <w:sz w:val="22"/>
                <w:szCs w:val="22"/>
              </w:rPr>
              <w:t xml:space="preserve">L’engagement du personnel est de la responsabilité du porteur de projet. Le financement du personnel dans le cadre de cet appel plan d’action d’inclusion numérique est limité à la durée du projet (maximum 12 mois) et ne sera pas assuré par le </w:t>
            </w:r>
            <w:r w:rsidR="00A53F11" w:rsidRPr="0B3BD5ED">
              <w:rPr>
                <w:sz w:val="22"/>
                <w:szCs w:val="22"/>
              </w:rPr>
              <w:t>ministère</w:t>
            </w:r>
            <w:r w:rsidRPr="0B3BD5ED">
              <w:rPr>
                <w:sz w:val="22"/>
                <w:szCs w:val="22"/>
              </w:rPr>
              <w:t xml:space="preserve"> de la Digitalisation au-delà de cette période.</w:t>
            </w:r>
          </w:p>
        </w:tc>
      </w:tr>
      <w:tr w:rsidR="007B508B" w:rsidRPr="00757CAD" w14:paraId="29502E08" w14:textId="77777777" w:rsidTr="0B3BD5ED">
        <w:tc>
          <w:tcPr>
            <w:cnfStyle w:val="001000000000" w:firstRow="0" w:lastRow="0" w:firstColumn="1" w:lastColumn="0" w:oddVBand="0" w:evenVBand="0" w:oddHBand="0" w:evenHBand="0" w:firstRowFirstColumn="0" w:firstRowLastColumn="0" w:lastRowFirstColumn="0" w:lastRowLastColumn="0"/>
            <w:tcW w:w="3119" w:type="dxa"/>
          </w:tcPr>
          <w:p w14:paraId="089012C1" w14:textId="2FC22BD9" w:rsidR="007B508B" w:rsidRPr="0B3BD5ED" w:rsidRDefault="007B508B" w:rsidP="0B3BD5ED">
            <w:pPr>
              <w:tabs>
                <w:tab w:val="left" w:pos="3812"/>
              </w:tabs>
              <w:spacing w:before="120" w:after="120" w:line="276" w:lineRule="auto"/>
              <w:jc w:val="both"/>
              <w:rPr>
                <w:sz w:val="22"/>
                <w:szCs w:val="22"/>
              </w:rPr>
            </w:pPr>
            <w:r>
              <w:rPr>
                <w:sz w:val="22"/>
                <w:szCs w:val="22"/>
              </w:rPr>
              <w:t>Décompte financier</w:t>
            </w:r>
          </w:p>
        </w:tc>
        <w:tc>
          <w:tcPr>
            <w:tcW w:w="7371" w:type="dxa"/>
          </w:tcPr>
          <w:p w14:paraId="66C92DD9" w14:textId="52B60B49" w:rsidR="00505A7D" w:rsidRDefault="00505A7D" w:rsidP="0B3BD5ED">
            <w:pPr>
              <w:spacing w:before="120" w:line="276" w:lineRule="auto"/>
              <w:jc w:val="both"/>
              <w:cnfStyle w:val="000000000000" w:firstRow="0" w:lastRow="0" w:firstColumn="0" w:lastColumn="0" w:oddVBand="0" w:evenVBand="0" w:oddHBand="0" w:evenHBand="0" w:firstRowFirstColumn="0" w:firstRowLastColumn="0" w:lastRowFirstColumn="0" w:lastRowLastColumn="0"/>
              <w:rPr>
                <w:sz w:val="22"/>
                <w:szCs w:val="22"/>
              </w:rPr>
            </w:pPr>
            <w:r w:rsidRPr="00505A7D">
              <w:rPr>
                <w:sz w:val="22"/>
                <w:szCs w:val="22"/>
              </w:rPr>
              <w:t>Le décompte financier est un document récapitulatif des dépenses liées au projet, accompagné des pièces justificatives (factures, preuves de paiement, etc.)</w:t>
            </w:r>
            <w:r w:rsidR="00467A76">
              <w:rPr>
                <w:sz w:val="22"/>
                <w:szCs w:val="22"/>
              </w:rPr>
              <w:t>.</w:t>
            </w:r>
          </w:p>
          <w:p w14:paraId="1541642B" w14:textId="77777777" w:rsidR="00505A7D" w:rsidRPr="00F1489A" w:rsidRDefault="00505A7D" w:rsidP="00505A7D">
            <w:pPr>
              <w:spacing w:before="120" w:line="276" w:lineRule="auto"/>
              <w:jc w:val="both"/>
              <w:cnfStyle w:val="000000000000" w:firstRow="0" w:lastRow="0" w:firstColumn="0" w:lastColumn="0" w:oddVBand="0" w:evenVBand="0" w:oddHBand="0" w:evenHBand="0" w:firstRowFirstColumn="0" w:firstRowLastColumn="0" w:lastRowFirstColumn="0" w:lastRowLastColumn="0"/>
              <w:rPr>
                <w:b/>
                <w:bCs/>
                <w:sz w:val="22"/>
                <w:szCs w:val="22"/>
              </w:rPr>
            </w:pPr>
            <w:r w:rsidRPr="00F1489A">
              <w:rPr>
                <w:b/>
                <w:bCs/>
                <w:sz w:val="22"/>
                <w:szCs w:val="22"/>
              </w:rPr>
              <w:t>Premier décompte :</w:t>
            </w:r>
          </w:p>
          <w:p w14:paraId="78B3536F" w14:textId="77777777" w:rsidR="00505A7D" w:rsidRDefault="00505A7D" w:rsidP="00505A7D">
            <w:pPr>
              <w:pStyle w:val="ListParagraph"/>
              <w:numPr>
                <w:ilvl w:val="0"/>
                <w:numId w:val="24"/>
              </w:numPr>
              <w:spacing w:before="120" w:line="276" w:lineRule="auto"/>
              <w:jc w:val="both"/>
              <w:cnfStyle w:val="000000000000" w:firstRow="0" w:lastRow="0" w:firstColumn="0" w:lastColumn="0" w:oddVBand="0" w:evenVBand="0" w:oddHBand="0" w:evenHBand="0" w:firstRowFirstColumn="0" w:firstRowLastColumn="0" w:lastRowFirstColumn="0" w:lastRowLastColumn="0"/>
              <w:rPr>
                <w:sz w:val="22"/>
                <w:szCs w:val="22"/>
              </w:rPr>
            </w:pPr>
            <w:r w:rsidRPr="00505A7D">
              <w:rPr>
                <w:sz w:val="22"/>
                <w:szCs w:val="22"/>
              </w:rPr>
              <w:t xml:space="preserve">À </w:t>
            </w:r>
            <w:r>
              <w:rPr>
                <w:sz w:val="22"/>
                <w:szCs w:val="22"/>
              </w:rPr>
              <w:t xml:space="preserve">soumettre </w:t>
            </w:r>
            <w:r w:rsidRPr="00F1489A">
              <w:rPr>
                <w:sz w:val="22"/>
                <w:szCs w:val="22"/>
              </w:rPr>
              <w:t>à mi-parcours du projet,</w:t>
            </w:r>
            <w:r>
              <w:rPr>
                <w:sz w:val="22"/>
                <w:szCs w:val="22"/>
              </w:rPr>
              <w:t xml:space="preserve"> c’est-à-dire en fin d’année suivant le début du projet</w:t>
            </w:r>
            <w:r w:rsidRPr="00F1489A">
              <w:rPr>
                <w:sz w:val="22"/>
                <w:szCs w:val="22"/>
              </w:rPr>
              <w:t>.</w:t>
            </w:r>
          </w:p>
          <w:p w14:paraId="57E6CB60" w14:textId="503ABEB7" w:rsidR="00505A7D" w:rsidRPr="00F1489A" w:rsidRDefault="00505A7D" w:rsidP="00F1489A">
            <w:pPr>
              <w:pStyle w:val="ListParagraph"/>
              <w:numPr>
                <w:ilvl w:val="0"/>
                <w:numId w:val="24"/>
              </w:numPr>
              <w:spacing w:before="120" w:line="276" w:lineRule="auto"/>
              <w:jc w:val="both"/>
              <w:cnfStyle w:val="000000000000" w:firstRow="0" w:lastRow="0" w:firstColumn="0" w:lastColumn="0" w:oddVBand="0" w:evenVBand="0" w:oddHBand="0" w:evenHBand="0" w:firstRowFirstColumn="0" w:firstRowLastColumn="0" w:lastRowFirstColumn="0" w:lastRowLastColumn="0"/>
              <w:rPr>
                <w:sz w:val="22"/>
                <w:szCs w:val="22"/>
              </w:rPr>
            </w:pPr>
            <w:r w:rsidRPr="00F1489A">
              <w:rPr>
                <w:sz w:val="22"/>
                <w:szCs w:val="22"/>
              </w:rPr>
              <w:t>Doit reprendre les dépenses effectuées selon le budget prévisionnel soumis lors de la candidature.</w:t>
            </w:r>
          </w:p>
          <w:p w14:paraId="60423C86" w14:textId="37BDBB64" w:rsidR="00505A7D" w:rsidRPr="00F1489A" w:rsidRDefault="00505A7D" w:rsidP="00505A7D">
            <w:pPr>
              <w:spacing w:before="120" w:line="276" w:lineRule="auto"/>
              <w:jc w:val="both"/>
              <w:cnfStyle w:val="000000000000" w:firstRow="0" w:lastRow="0" w:firstColumn="0" w:lastColumn="0" w:oddVBand="0" w:evenVBand="0" w:oddHBand="0" w:evenHBand="0" w:firstRowFirstColumn="0" w:firstRowLastColumn="0" w:lastRowFirstColumn="0" w:lastRowLastColumn="0"/>
              <w:rPr>
                <w:b/>
                <w:bCs/>
                <w:sz w:val="22"/>
                <w:szCs w:val="22"/>
              </w:rPr>
            </w:pPr>
            <w:r w:rsidRPr="00F1489A">
              <w:rPr>
                <w:b/>
                <w:bCs/>
                <w:sz w:val="22"/>
                <w:szCs w:val="22"/>
              </w:rPr>
              <w:t>Second décompte :</w:t>
            </w:r>
          </w:p>
          <w:p w14:paraId="16378181" w14:textId="77777777" w:rsidR="00505A7D" w:rsidRDefault="00505A7D" w:rsidP="00505A7D">
            <w:pPr>
              <w:pStyle w:val="ListParagraph"/>
              <w:numPr>
                <w:ilvl w:val="0"/>
                <w:numId w:val="25"/>
              </w:numPr>
              <w:spacing w:before="120" w:line="276" w:lineRule="auto"/>
              <w:jc w:val="both"/>
              <w:cnfStyle w:val="000000000000" w:firstRow="0" w:lastRow="0" w:firstColumn="0" w:lastColumn="0" w:oddVBand="0" w:evenVBand="0" w:oddHBand="0" w:evenHBand="0" w:firstRowFirstColumn="0" w:firstRowLastColumn="0" w:lastRowFirstColumn="0" w:lastRowLastColumn="0"/>
              <w:rPr>
                <w:sz w:val="22"/>
                <w:szCs w:val="22"/>
              </w:rPr>
            </w:pPr>
            <w:r w:rsidRPr="00F1489A">
              <w:rPr>
                <w:sz w:val="22"/>
                <w:szCs w:val="22"/>
              </w:rPr>
              <w:t>À soumettre à la fin du projet</w:t>
            </w:r>
            <w:r>
              <w:rPr>
                <w:sz w:val="22"/>
                <w:szCs w:val="22"/>
              </w:rPr>
              <w:t>.</w:t>
            </w:r>
          </w:p>
          <w:p w14:paraId="1B27EA6B" w14:textId="073928AA" w:rsidR="00505A7D" w:rsidRPr="00F1489A" w:rsidRDefault="00505A7D" w:rsidP="00F1489A">
            <w:pPr>
              <w:pStyle w:val="ListParagraph"/>
              <w:numPr>
                <w:ilvl w:val="0"/>
                <w:numId w:val="25"/>
              </w:numPr>
              <w:spacing w:before="120" w:line="276" w:lineRule="auto"/>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I</w:t>
            </w:r>
            <w:r w:rsidRPr="00F1489A">
              <w:rPr>
                <w:sz w:val="22"/>
                <w:szCs w:val="22"/>
              </w:rPr>
              <w:t>nclu</w:t>
            </w:r>
            <w:r>
              <w:rPr>
                <w:sz w:val="22"/>
                <w:szCs w:val="22"/>
              </w:rPr>
              <w:t>t</w:t>
            </w:r>
            <w:r w:rsidRPr="00F1489A">
              <w:rPr>
                <w:sz w:val="22"/>
                <w:szCs w:val="22"/>
              </w:rPr>
              <w:t xml:space="preserve"> l’intégralité des documents ou seulement </w:t>
            </w:r>
            <w:r>
              <w:rPr>
                <w:sz w:val="22"/>
                <w:szCs w:val="22"/>
              </w:rPr>
              <w:t>ceux</w:t>
            </w:r>
            <w:r w:rsidRPr="00F1489A">
              <w:rPr>
                <w:sz w:val="22"/>
                <w:szCs w:val="22"/>
              </w:rPr>
              <w:t xml:space="preserve"> de la seconde moitié du projet.</w:t>
            </w:r>
          </w:p>
          <w:p w14:paraId="1937A63F" w14:textId="1AA0CC66" w:rsidR="00505A7D" w:rsidRPr="00F1489A" w:rsidRDefault="00505A7D" w:rsidP="00505A7D">
            <w:pPr>
              <w:spacing w:before="120" w:line="276" w:lineRule="auto"/>
              <w:jc w:val="both"/>
              <w:cnfStyle w:val="000000000000" w:firstRow="0" w:lastRow="0" w:firstColumn="0" w:lastColumn="0" w:oddVBand="0" w:evenVBand="0" w:oddHBand="0" w:evenHBand="0" w:firstRowFirstColumn="0" w:firstRowLastColumn="0" w:lastRowFirstColumn="0" w:lastRowLastColumn="0"/>
              <w:rPr>
                <w:b/>
                <w:bCs/>
                <w:sz w:val="22"/>
                <w:szCs w:val="22"/>
              </w:rPr>
            </w:pPr>
            <w:r w:rsidRPr="00F1489A">
              <w:rPr>
                <w:b/>
                <w:bCs/>
                <w:sz w:val="22"/>
                <w:szCs w:val="22"/>
              </w:rPr>
              <w:t>Pièces justificatives :</w:t>
            </w:r>
          </w:p>
          <w:p w14:paraId="47331F11" w14:textId="77777777" w:rsidR="00505A7D" w:rsidRDefault="00505A7D" w:rsidP="00505A7D">
            <w:pPr>
              <w:pStyle w:val="ListParagraph"/>
              <w:numPr>
                <w:ilvl w:val="0"/>
                <w:numId w:val="26"/>
              </w:numPr>
              <w:spacing w:before="120" w:line="276" w:lineRule="auto"/>
              <w:jc w:val="both"/>
              <w:cnfStyle w:val="000000000000" w:firstRow="0" w:lastRow="0" w:firstColumn="0" w:lastColumn="0" w:oddVBand="0" w:evenVBand="0" w:oddHBand="0" w:evenHBand="0" w:firstRowFirstColumn="0" w:firstRowLastColumn="0" w:lastRowFirstColumn="0" w:lastRowLastColumn="0"/>
              <w:rPr>
                <w:sz w:val="22"/>
                <w:szCs w:val="22"/>
              </w:rPr>
            </w:pPr>
            <w:r w:rsidRPr="00F1489A">
              <w:rPr>
                <w:sz w:val="22"/>
                <w:szCs w:val="22"/>
              </w:rPr>
              <w:t xml:space="preserve">À présenter par types de frais, conformément </w:t>
            </w:r>
            <w:r>
              <w:rPr>
                <w:sz w:val="22"/>
                <w:szCs w:val="22"/>
              </w:rPr>
              <w:t>au</w:t>
            </w:r>
            <w:r w:rsidRPr="00F1489A">
              <w:rPr>
                <w:sz w:val="22"/>
                <w:szCs w:val="22"/>
              </w:rPr>
              <w:t xml:space="preserve"> tableau fourni.</w:t>
            </w:r>
          </w:p>
          <w:p w14:paraId="50B7E493" w14:textId="0BFA21BC" w:rsidR="00505A7D" w:rsidRDefault="00505A7D" w:rsidP="00505A7D">
            <w:pPr>
              <w:pStyle w:val="ListParagraph"/>
              <w:numPr>
                <w:ilvl w:val="0"/>
                <w:numId w:val="26"/>
              </w:numPr>
              <w:spacing w:before="120" w:line="276" w:lineRule="auto"/>
              <w:jc w:val="both"/>
              <w:cnfStyle w:val="000000000000" w:firstRow="0" w:lastRow="0" w:firstColumn="0" w:lastColumn="0" w:oddVBand="0" w:evenVBand="0" w:oddHBand="0" w:evenHBand="0" w:firstRowFirstColumn="0" w:firstRowLastColumn="0" w:lastRowFirstColumn="0" w:lastRowLastColumn="0"/>
              <w:rPr>
                <w:sz w:val="22"/>
                <w:szCs w:val="22"/>
              </w:rPr>
            </w:pPr>
            <w:r w:rsidRPr="00505A7D">
              <w:rPr>
                <w:sz w:val="22"/>
                <w:szCs w:val="22"/>
              </w:rPr>
              <w:t xml:space="preserve">Un </w:t>
            </w:r>
            <w:r w:rsidR="00F433F2" w:rsidRPr="00505A7D">
              <w:rPr>
                <w:sz w:val="22"/>
                <w:szCs w:val="22"/>
              </w:rPr>
              <w:t>TimeSheet</w:t>
            </w:r>
            <w:r w:rsidRPr="00505A7D">
              <w:rPr>
                <w:sz w:val="22"/>
                <w:szCs w:val="22"/>
              </w:rPr>
              <w:t xml:space="preserve"> doit être rempli afin de détailler les f</w:t>
            </w:r>
            <w:r w:rsidRPr="00F1489A">
              <w:rPr>
                <w:sz w:val="22"/>
                <w:szCs w:val="22"/>
              </w:rPr>
              <w:t>rais de personnel</w:t>
            </w:r>
            <w:r>
              <w:rPr>
                <w:sz w:val="22"/>
                <w:szCs w:val="22"/>
              </w:rPr>
              <w:t>.</w:t>
            </w:r>
          </w:p>
          <w:p w14:paraId="1A2C1C8E" w14:textId="49C31E45" w:rsidR="00505A7D" w:rsidRPr="0B3BD5ED" w:rsidRDefault="00505A7D" w:rsidP="00F1489A">
            <w:pPr>
              <w:pStyle w:val="ListParagraph"/>
              <w:spacing w:before="120" w:line="276" w:lineRule="auto"/>
              <w:jc w:val="both"/>
              <w:cnfStyle w:val="000000000000" w:firstRow="0" w:lastRow="0" w:firstColumn="0" w:lastColumn="0" w:oddVBand="0" w:evenVBand="0" w:oddHBand="0" w:evenHBand="0" w:firstRowFirstColumn="0" w:firstRowLastColumn="0" w:lastRowFirstColumn="0" w:lastRowLastColumn="0"/>
              <w:rPr>
                <w:sz w:val="22"/>
                <w:szCs w:val="22"/>
              </w:rPr>
            </w:pPr>
          </w:p>
        </w:tc>
      </w:tr>
      <w:tr w:rsidR="009B65D6" w:rsidRPr="00757CAD" w14:paraId="1A1DFFBF" w14:textId="77777777" w:rsidTr="0B3BD5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27FCDD0E" w14:textId="0BE8F4D1" w:rsidR="009B65D6" w:rsidRPr="0053156B" w:rsidRDefault="0B3BD5ED" w:rsidP="0B3BD5ED">
            <w:pPr>
              <w:tabs>
                <w:tab w:val="left" w:pos="3812"/>
              </w:tabs>
              <w:spacing w:before="120" w:after="120" w:line="276" w:lineRule="auto"/>
              <w:jc w:val="both"/>
              <w:rPr>
                <w:sz w:val="22"/>
                <w:szCs w:val="22"/>
              </w:rPr>
            </w:pPr>
            <w:r w:rsidRPr="0B3BD5ED">
              <w:rPr>
                <w:sz w:val="22"/>
                <w:szCs w:val="22"/>
              </w:rPr>
              <w:t>Dépôt de la demande</w:t>
            </w:r>
          </w:p>
        </w:tc>
        <w:tc>
          <w:tcPr>
            <w:tcW w:w="7371" w:type="dxa"/>
          </w:tcPr>
          <w:p w14:paraId="2AB919C2" w14:textId="1181C5AF" w:rsidR="009B65D6" w:rsidRPr="0053156B" w:rsidRDefault="0B3BD5ED" w:rsidP="004776C4">
            <w:pPr>
              <w:spacing w:before="120" w:line="276" w:lineRule="auto"/>
              <w:jc w:val="both"/>
              <w:cnfStyle w:val="000000100000" w:firstRow="0" w:lastRow="0" w:firstColumn="0" w:lastColumn="0" w:oddVBand="0" w:evenVBand="0" w:oddHBand="1" w:evenHBand="0" w:firstRowFirstColumn="0" w:firstRowLastColumn="0" w:lastRowFirstColumn="0" w:lastRowLastColumn="0"/>
              <w:rPr>
                <w:sz w:val="22"/>
                <w:szCs w:val="22"/>
              </w:rPr>
            </w:pPr>
            <w:r w:rsidRPr="0B3BD5ED">
              <w:rPr>
                <w:sz w:val="22"/>
                <w:szCs w:val="22"/>
              </w:rPr>
              <w:t xml:space="preserve">La date limite d’envoi des candidatures au présent appel est fixée au </w:t>
            </w:r>
            <w:r w:rsidR="007B6B5C" w:rsidRPr="00784D2D">
              <w:rPr>
                <w:b/>
                <w:bCs/>
                <w:sz w:val="22"/>
                <w:szCs w:val="22"/>
              </w:rPr>
              <w:t>13</w:t>
            </w:r>
            <w:r w:rsidR="00B30640" w:rsidRPr="00784D2D">
              <w:rPr>
                <w:b/>
                <w:bCs/>
                <w:sz w:val="22"/>
                <w:szCs w:val="22"/>
              </w:rPr>
              <w:t xml:space="preserve"> février</w:t>
            </w:r>
            <w:r w:rsidR="00A53F11" w:rsidRPr="00784D2D">
              <w:rPr>
                <w:sz w:val="22"/>
                <w:szCs w:val="22"/>
              </w:rPr>
              <w:t xml:space="preserve"> </w:t>
            </w:r>
            <w:r w:rsidRPr="00784D2D">
              <w:rPr>
                <w:b/>
                <w:bCs/>
                <w:sz w:val="22"/>
                <w:szCs w:val="22"/>
              </w:rPr>
              <w:t>202</w:t>
            </w:r>
            <w:r w:rsidR="00784D2D" w:rsidRPr="00784D2D">
              <w:rPr>
                <w:b/>
                <w:bCs/>
                <w:sz w:val="22"/>
                <w:szCs w:val="22"/>
              </w:rPr>
              <w:t>6</w:t>
            </w:r>
            <w:r w:rsidRPr="0B3BD5ED">
              <w:rPr>
                <w:b/>
                <w:bCs/>
                <w:sz w:val="22"/>
                <w:szCs w:val="22"/>
              </w:rPr>
              <w:t xml:space="preserve"> à 12h00 (midi). Aucun projet ne pourra être retenu au-delà de cette date limite.</w:t>
            </w:r>
            <w:r w:rsidRPr="0B3BD5ED">
              <w:rPr>
                <w:sz w:val="22"/>
                <w:szCs w:val="22"/>
              </w:rPr>
              <w:t xml:space="preserve"> Les dossiers de candidatures avec les documents annexés sont à envoyer </w:t>
            </w:r>
            <w:r w:rsidRPr="0B3BD5ED">
              <w:rPr>
                <w:rFonts w:asciiTheme="minorHAnsi" w:hAnsiTheme="minorHAnsi" w:cstheme="minorBidi"/>
                <w:sz w:val="22"/>
                <w:szCs w:val="22"/>
              </w:rPr>
              <w:t xml:space="preserve">uniquement par courrier électronique à l’adresse </w:t>
            </w:r>
            <w:r w:rsidR="004776C4" w:rsidRPr="0B3BD5ED">
              <w:rPr>
                <w:rFonts w:asciiTheme="minorHAnsi" w:hAnsiTheme="minorHAnsi" w:cstheme="minorBidi"/>
                <w:sz w:val="22"/>
                <w:szCs w:val="22"/>
              </w:rPr>
              <w:t>mail :</w:t>
            </w:r>
            <w:r w:rsidR="004776C4">
              <w:rPr>
                <w:rFonts w:asciiTheme="minorHAnsi" w:hAnsiTheme="minorHAnsi" w:cstheme="minorBidi"/>
                <w:sz w:val="22"/>
                <w:szCs w:val="22"/>
              </w:rPr>
              <w:t xml:space="preserve"> </w:t>
            </w:r>
            <w:hyperlink r:id="rId11" w:history="1">
              <w:r w:rsidR="004776C4" w:rsidRPr="004776C4">
                <w:rPr>
                  <w:rStyle w:val="Hyperlink"/>
                  <w:rFonts w:asciiTheme="minorHAnsi" w:hAnsiTheme="minorHAnsi" w:cstheme="minorBidi"/>
                  <w:szCs w:val="22"/>
                </w:rPr>
                <w:t>i</w:t>
              </w:r>
              <w:r w:rsidR="004776C4" w:rsidRPr="004776C4">
                <w:rPr>
                  <w:rStyle w:val="Hyperlink"/>
                  <w:rFonts w:ascii="Calibri" w:eastAsia="Calibri" w:hAnsi="Calibri"/>
                  <w:szCs w:val="22"/>
                </w:rPr>
                <w:t>nfo@zesummendigital.public.lu</w:t>
              </w:r>
            </w:hyperlink>
            <w:r w:rsidRPr="007569B3">
              <w:rPr>
                <w:rFonts w:eastAsia="Calibri"/>
                <w:sz w:val="22"/>
                <w:szCs w:val="22"/>
              </w:rPr>
              <w:t xml:space="preserve"> </w:t>
            </w:r>
          </w:p>
        </w:tc>
      </w:tr>
      <w:tr w:rsidR="009D2A55" w:rsidRPr="00757CAD" w14:paraId="3AB65A6B" w14:textId="77777777" w:rsidTr="000D3A66">
        <w:tc>
          <w:tcPr>
            <w:cnfStyle w:val="001000000000" w:firstRow="0" w:lastRow="0" w:firstColumn="1" w:lastColumn="0" w:oddVBand="0" w:evenVBand="0" w:oddHBand="0" w:evenHBand="0" w:firstRowFirstColumn="0" w:firstRowLastColumn="0" w:lastRowFirstColumn="0" w:lastRowLastColumn="0"/>
            <w:tcW w:w="3119" w:type="dxa"/>
            <w:vAlign w:val="center"/>
          </w:tcPr>
          <w:p w14:paraId="4454AA81" w14:textId="01A0FAC6" w:rsidR="009D2A55" w:rsidRPr="0053156B" w:rsidRDefault="0B3BD5ED" w:rsidP="000D3A66">
            <w:pPr>
              <w:tabs>
                <w:tab w:val="left" w:pos="3812"/>
              </w:tabs>
              <w:spacing w:before="120" w:after="120" w:line="276" w:lineRule="auto"/>
              <w:jc w:val="center"/>
              <w:rPr>
                <w:sz w:val="22"/>
                <w:szCs w:val="22"/>
              </w:rPr>
            </w:pPr>
            <w:r w:rsidRPr="0B3BD5ED">
              <w:rPr>
                <w:sz w:val="22"/>
                <w:szCs w:val="22"/>
              </w:rPr>
              <w:lastRenderedPageBreak/>
              <w:t>Webinaires-Réunions d’information</w:t>
            </w:r>
          </w:p>
        </w:tc>
        <w:tc>
          <w:tcPr>
            <w:tcW w:w="7371" w:type="dxa"/>
          </w:tcPr>
          <w:p w14:paraId="4404C3F4" w14:textId="2D39730D" w:rsidR="008A01E0" w:rsidRDefault="0B3BD5ED" w:rsidP="0B3BD5ED">
            <w:pPr>
              <w:spacing w:before="120" w:line="276" w:lineRule="auto"/>
              <w:jc w:val="both"/>
              <w:cnfStyle w:val="000000000000" w:firstRow="0" w:lastRow="0" w:firstColumn="0" w:lastColumn="0" w:oddVBand="0" w:evenVBand="0" w:oddHBand="0" w:evenHBand="0" w:firstRowFirstColumn="0" w:firstRowLastColumn="0" w:lastRowFirstColumn="0" w:lastRowLastColumn="0"/>
              <w:rPr>
                <w:sz w:val="22"/>
                <w:szCs w:val="22"/>
              </w:rPr>
            </w:pPr>
            <w:r w:rsidRPr="0B3BD5ED">
              <w:rPr>
                <w:sz w:val="22"/>
                <w:szCs w:val="22"/>
              </w:rPr>
              <w:t xml:space="preserve">Deux séances d'information en ligne </w:t>
            </w:r>
            <w:r w:rsidR="001E407B">
              <w:rPr>
                <w:sz w:val="22"/>
                <w:szCs w:val="22"/>
              </w:rPr>
              <w:t xml:space="preserve">et en langue française </w:t>
            </w:r>
            <w:r w:rsidRPr="0B3BD5ED">
              <w:rPr>
                <w:sz w:val="22"/>
                <w:szCs w:val="22"/>
              </w:rPr>
              <w:t xml:space="preserve">auront lieu : </w:t>
            </w:r>
          </w:p>
          <w:p w14:paraId="005ADBAB" w14:textId="426A4031" w:rsidR="00F1489A" w:rsidRPr="00784D2D" w:rsidRDefault="00F1489A" w:rsidP="00F1489A">
            <w:pPr>
              <w:pStyle w:val="ListParagraph"/>
              <w:numPr>
                <w:ilvl w:val="0"/>
                <w:numId w:val="12"/>
              </w:numPr>
              <w:spacing w:before="120" w:line="276" w:lineRule="auto"/>
              <w:jc w:val="both"/>
              <w:cnfStyle w:val="000000000000" w:firstRow="0" w:lastRow="0" w:firstColumn="0" w:lastColumn="0" w:oddVBand="0" w:evenVBand="0" w:oddHBand="0" w:evenHBand="0" w:firstRowFirstColumn="0" w:firstRowLastColumn="0" w:lastRowFirstColumn="0" w:lastRowLastColumn="0"/>
              <w:rPr>
                <w:sz w:val="22"/>
                <w:szCs w:val="22"/>
              </w:rPr>
            </w:pPr>
            <w:r w:rsidRPr="00784D2D">
              <w:rPr>
                <w:sz w:val="22"/>
                <w:szCs w:val="22"/>
              </w:rPr>
              <w:t xml:space="preserve">le </w:t>
            </w:r>
            <w:r w:rsidR="007B6B5C" w:rsidRPr="00784D2D">
              <w:rPr>
                <w:b/>
                <w:bCs/>
                <w:sz w:val="22"/>
                <w:szCs w:val="22"/>
              </w:rPr>
              <w:t>lundi 15</w:t>
            </w:r>
            <w:r w:rsidRPr="00784D2D">
              <w:rPr>
                <w:b/>
                <w:bCs/>
                <w:sz w:val="22"/>
                <w:szCs w:val="22"/>
              </w:rPr>
              <w:t xml:space="preserve"> décembre 202</w:t>
            </w:r>
            <w:r w:rsidR="00D90EB7" w:rsidRPr="00784D2D">
              <w:rPr>
                <w:b/>
                <w:bCs/>
                <w:sz w:val="22"/>
                <w:szCs w:val="22"/>
              </w:rPr>
              <w:t>5</w:t>
            </w:r>
            <w:r w:rsidRPr="00784D2D">
              <w:rPr>
                <w:sz w:val="22"/>
                <w:szCs w:val="22"/>
              </w:rPr>
              <w:t xml:space="preserve"> à </w:t>
            </w:r>
            <w:r w:rsidR="007B6B5C" w:rsidRPr="00784D2D">
              <w:rPr>
                <w:b/>
                <w:bCs/>
                <w:sz w:val="22"/>
                <w:szCs w:val="22"/>
              </w:rPr>
              <w:t>11</w:t>
            </w:r>
            <w:r w:rsidRPr="00784D2D">
              <w:rPr>
                <w:b/>
                <w:bCs/>
                <w:sz w:val="22"/>
                <w:szCs w:val="22"/>
              </w:rPr>
              <w:t>h</w:t>
            </w:r>
          </w:p>
          <w:p w14:paraId="38A9F003" w14:textId="27DF3C32" w:rsidR="00F1489A" w:rsidRPr="00784D2D" w:rsidRDefault="00F1489A" w:rsidP="00F1489A">
            <w:pPr>
              <w:pStyle w:val="ListParagraph"/>
              <w:numPr>
                <w:ilvl w:val="0"/>
                <w:numId w:val="12"/>
              </w:numPr>
              <w:spacing w:before="120" w:line="276" w:lineRule="auto"/>
              <w:jc w:val="both"/>
              <w:cnfStyle w:val="000000000000" w:firstRow="0" w:lastRow="0" w:firstColumn="0" w:lastColumn="0" w:oddVBand="0" w:evenVBand="0" w:oddHBand="0" w:evenHBand="0" w:firstRowFirstColumn="0" w:firstRowLastColumn="0" w:lastRowFirstColumn="0" w:lastRowLastColumn="0"/>
              <w:rPr>
                <w:sz w:val="22"/>
                <w:szCs w:val="22"/>
              </w:rPr>
            </w:pPr>
            <w:r w:rsidRPr="00784D2D">
              <w:rPr>
                <w:sz w:val="22"/>
                <w:szCs w:val="22"/>
              </w:rPr>
              <w:t xml:space="preserve">le </w:t>
            </w:r>
            <w:r w:rsidR="007B6B5C" w:rsidRPr="00784D2D">
              <w:rPr>
                <w:b/>
                <w:bCs/>
                <w:sz w:val="22"/>
                <w:szCs w:val="22"/>
              </w:rPr>
              <w:t>mardi 13</w:t>
            </w:r>
            <w:r w:rsidRPr="00784D2D">
              <w:rPr>
                <w:b/>
                <w:bCs/>
                <w:sz w:val="22"/>
                <w:szCs w:val="22"/>
              </w:rPr>
              <w:t xml:space="preserve"> janvier 202</w:t>
            </w:r>
            <w:r w:rsidR="00D90EB7" w:rsidRPr="00784D2D">
              <w:rPr>
                <w:b/>
                <w:bCs/>
                <w:sz w:val="22"/>
                <w:szCs w:val="22"/>
              </w:rPr>
              <w:t>6</w:t>
            </w:r>
            <w:r w:rsidRPr="00784D2D">
              <w:rPr>
                <w:sz w:val="22"/>
                <w:szCs w:val="22"/>
              </w:rPr>
              <w:t xml:space="preserve"> à </w:t>
            </w:r>
            <w:r w:rsidR="007B6B5C" w:rsidRPr="00784D2D">
              <w:rPr>
                <w:b/>
                <w:bCs/>
                <w:sz w:val="22"/>
                <w:szCs w:val="22"/>
              </w:rPr>
              <w:t>15</w:t>
            </w:r>
            <w:r w:rsidRPr="00784D2D">
              <w:rPr>
                <w:b/>
                <w:bCs/>
                <w:sz w:val="22"/>
                <w:szCs w:val="22"/>
              </w:rPr>
              <w:t>h</w:t>
            </w:r>
          </w:p>
          <w:p w14:paraId="0B6EFBE3" w14:textId="77777777" w:rsidR="009D2A55" w:rsidRDefault="0B3BD5ED" w:rsidP="0B3BD5ED">
            <w:pPr>
              <w:spacing w:before="120" w:line="276" w:lineRule="auto"/>
              <w:jc w:val="both"/>
              <w:cnfStyle w:val="000000000000" w:firstRow="0" w:lastRow="0" w:firstColumn="0" w:lastColumn="0" w:oddVBand="0" w:evenVBand="0" w:oddHBand="0" w:evenHBand="0" w:firstRowFirstColumn="0" w:firstRowLastColumn="0" w:lastRowFirstColumn="0" w:lastRowLastColumn="0"/>
              <w:rPr>
                <w:sz w:val="22"/>
                <w:szCs w:val="22"/>
              </w:rPr>
            </w:pPr>
            <w:r w:rsidRPr="0B3BD5ED">
              <w:rPr>
                <w:sz w:val="22"/>
                <w:szCs w:val="22"/>
              </w:rPr>
              <w:t xml:space="preserve">Afin de mieux pouvoir organiser les réunions d’information, les personnes intéressées sont priées de confirmer leur participation en indiquant la séance à laquelle elles souhaitent participer, à </w:t>
            </w:r>
            <w:r w:rsidR="00A53F11" w:rsidRPr="0B3BD5ED">
              <w:rPr>
                <w:sz w:val="22"/>
                <w:szCs w:val="22"/>
              </w:rPr>
              <w:t>l’adresse :</w:t>
            </w:r>
            <w:r w:rsidRPr="0B3BD5ED">
              <w:rPr>
                <w:rFonts w:asciiTheme="minorHAnsi" w:hAnsiTheme="minorHAnsi" w:cstheme="minorBidi"/>
                <w:sz w:val="22"/>
                <w:szCs w:val="22"/>
              </w:rPr>
              <w:t xml:space="preserve"> </w:t>
            </w:r>
            <w:commentRangeStart w:id="1"/>
            <w:r>
              <w:fldChar w:fldCharType="begin"/>
            </w:r>
            <w:r>
              <w:instrText>HYPERLINK "mailto:info@zesummendigital.public.lu" \h</w:instrText>
            </w:r>
            <w:r>
              <w:fldChar w:fldCharType="separate"/>
            </w:r>
            <w:r w:rsidRPr="0B3BD5ED">
              <w:rPr>
                <w:rStyle w:val="Hyperlink"/>
                <w:rFonts w:asciiTheme="minorHAnsi" w:hAnsiTheme="minorHAnsi" w:cstheme="minorBidi"/>
                <w:szCs w:val="22"/>
              </w:rPr>
              <w:t>i</w:t>
            </w:r>
            <w:r w:rsidRPr="007569B3">
              <w:rPr>
                <w:rStyle w:val="Hyperlink"/>
                <w:rFonts w:ascii="Calibri" w:eastAsia="Calibri" w:hAnsi="Calibri"/>
                <w:szCs w:val="22"/>
              </w:rPr>
              <w:t>nfo@zesummendigital.public.lu</w:t>
            </w:r>
            <w:r>
              <w:rPr>
                <w:rStyle w:val="Hyperlink"/>
                <w:rFonts w:ascii="Calibri" w:eastAsia="Calibri" w:hAnsi="Calibri"/>
                <w:szCs w:val="22"/>
              </w:rPr>
              <w:fldChar w:fldCharType="end"/>
            </w:r>
            <w:r w:rsidRPr="007569B3">
              <w:rPr>
                <w:rFonts w:eastAsia="Calibri"/>
                <w:sz w:val="22"/>
                <w:szCs w:val="22"/>
              </w:rPr>
              <w:t xml:space="preserve"> </w:t>
            </w:r>
            <w:commentRangeEnd w:id="1"/>
            <w:r w:rsidR="00D90EB7">
              <w:rPr>
                <w:rStyle w:val="CommentReference"/>
              </w:rPr>
              <w:commentReference w:id="1"/>
            </w:r>
            <w:r w:rsidRPr="0B3BD5ED">
              <w:rPr>
                <w:sz w:val="22"/>
                <w:szCs w:val="22"/>
              </w:rPr>
              <w:t xml:space="preserve">Un courriel de confirmation </w:t>
            </w:r>
            <w:r w:rsidR="00A53F11">
              <w:rPr>
                <w:sz w:val="22"/>
                <w:szCs w:val="22"/>
              </w:rPr>
              <w:t xml:space="preserve">leur </w:t>
            </w:r>
            <w:r w:rsidRPr="0B3BD5ED">
              <w:rPr>
                <w:sz w:val="22"/>
                <w:szCs w:val="22"/>
              </w:rPr>
              <w:t>sera envoyé</w:t>
            </w:r>
            <w:r w:rsidR="00A53F11">
              <w:rPr>
                <w:sz w:val="22"/>
                <w:szCs w:val="22"/>
              </w:rPr>
              <w:t xml:space="preserve">, </w:t>
            </w:r>
            <w:r w:rsidR="001B3CFE">
              <w:rPr>
                <w:sz w:val="22"/>
                <w:szCs w:val="22"/>
              </w:rPr>
              <w:t xml:space="preserve">contenant </w:t>
            </w:r>
            <w:r w:rsidR="001B3CFE" w:rsidRPr="0B3BD5ED">
              <w:rPr>
                <w:sz w:val="22"/>
                <w:szCs w:val="22"/>
              </w:rPr>
              <w:t>le</w:t>
            </w:r>
            <w:r w:rsidRPr="0B3BD5ED">
              <w:rPr>
                <w:sz w:val="22"/>
                <w:szCs w:val="22"/>
              </w:rPr>
              <w:t xml:space="preserve"> lien de participation à la réunion d’information.</w:t>
            </w:r>
          </w:p>
          <w:p w14:paraId="7F1DF113" w14:textId="74A1EA47" w:rsidR="008F5A19" w:rsidRPr="0053156B" w:rsidRDefault="008F5A19" w:rsidP="0B3BD5ED">
            <w:pPr>
              <w:spacing w:before="120" w:line="276" w:lineRule="auto"/>
              <w:jc w:val="both"/>
              <w:cnfStyle w:val="000000000000" w:firstRow="0" w:lastRow="0" w:firstColumn="0" w:lastColumn="0" w:oddVBand="0" w:evenVBand="0" w:oddHBand="0" w:evenHBand="0" w:firstRowFirstColumn="0" w:firstRowLastColumn="0" w:lastRowFirstColumn="0" w:lastRowLastColumn="0"/>
              <w:rPr>
                <w:sz w:val="22"/>
                <w:szCs w:val="22"/>
              </w:rPr>
            </w:pPr>
          </w:p>
        </w:tc>
      </w:tr>
      <w:tr w:rsidR="003A5CB7" w:rsidRPr="00757CAD" w14:paraId="64549231" w14:textId="77777777" w:rsidTr="0B3BD5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6477155C" w14:textId="7E567EA5" w:rsidR="003A5CB7" w:rsidRPr="0B3BD5ED" w:rsidRDefault="003A5CB7" w:rsidP="0B3BD5ED">
            <w:pPr>
              <w:tabs>
                <w:tab w:val="left" w:pos="3812"/>
              </w:tabs>
              <w:spacing w:before="120" w:after="120" w:line="276" w:lineRule="auto"/>
              <w:jc w:val="both"/>
              <w:rPr>
                <w:sz w:val="22"/>
                <w:szCs w:val="22"/>
              </w:rPr>
            </w:pPr>
            <w:r>
              <w:rPr>
                <w:sz w:val="22"/>
                <w:szCs w:val="22"/>
              </w:rPr>
              <w:t>Présentation des projets</w:t>
            </w:r>
          </w:p>
        </w:tc>
        <w:tc>
          <w:tcPr>
            <w:tcW w:w="7371" w:type="dxa"/>
          </w:tcPr>
          <w:p w14:paraId="477B6814" w14:textId="68B0EBFD" w:rsidR="003A5CB7" w:rsidRPr="0B3BD5ED" w:rsidRDefault="003A5CB7" w:rsidP="008C0FBD">
            <w:pPr>
              <w:spacing w:before="120" w:line="276" w:lineRule="auto"/>
              <w:jc w:val="both"/>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Le ministère de la Digitalisa</w:t>
            </w:r>
            <w:r w:rsidR="003D69E1">
              <w:rPr>
                <w:sz w:val="22"/>
                <w:szCs w:val="22"/>
              </w:rPr>
              <w:t>tion invitera une prés</w:t>
            </w:r>
            <w:r>
              <w:rPr>
                <w:sz w:val="22"/>
                <w:szCs w:val="22"/>
              </w:rPr>
              <w:t xml:space="preserve">élection de projets soumis à </w:t>
            </w:r>
            <w:r w:rsidR="003D69E1">
              <w:rPr>
                <w:sz w:val="22"/>
                <w:szCs w:val="22"/>
              </w:rPr>
              <w:t xml:space="preserve">présenter leur proposition de projet devant le jury de sélection. </w:t>
            </w:r>
            <w:r w:rsidR="003D69E1" w:rsidRPr="003D69E1">
              <w:rPr>
                <w:sz w:val="22"/>
                <w:szCs w:val="22"/>
              </w:rPr>
              <w:t xml:space="preserve">Les présentations auront lieu les </w:t>
            </w:r>
            <w:r w:rsidR="00784D2D">
              <w:rPr>
                <w:b/>
                <w:bCs/>
                <w:sz w:val="22"/>
                <w:szCs w:val="22"/>
              </w:rPr>
              <w:t>9</w:t>
            </w:r>
            <w:r w:rsidR="00ED1234" w:rsidRPr="007555A4">
              <w:rPr>
                <w:b/>
                <w:bCs/>
                <w:sz w:val="22"/>
                <w:szCs w:val="22"/>
              </w:rPr>
              <w:t xml:space="preserve"> et </w:t>
            </w:r>
            <w:r w:rsidR="00784D2D">
              <w:rPr>
                <w:b/>
                <w:bCs/>
                <w:sz w:val="22"/>
                <w:szCs w:val="22"/>
              </w:rPr>
              <w:t>10</w:t>
            </w:r>
            <w:r w:rsidR="007B508B" w:rsidRPr="007555A4">
              <w:rPr>
                <w:b/>
                <w:bCs/>
                <w:sz w:val="22"/>
                <w:szCs w:val="22"/>
              </w:rPr>
              <w:t xml:space="preserve"> mars</w:t>
            </w:r>
            <w:r w:rsidR="00ED1234" w:rsidRPr="007555A4">
              <w:rPr>
                <w:b/>
                <w:bCs/>
                <w:sz w:val="22"/>
                <w:szCs w:val="22"/>
              </w:rPr>
              <w:t xml:space="preserve"> 202</w:t>
            </w:r>
            <w:r w:rsidR="00D90EB7">
              <w:rPr>
                <w:b/>
                <w:bCs/>
                <w:sz w:val="22"/>
                <w:szCs w:val="22"/>
              </w:rPr>
              <w:t>6</w:t>
            </w:r>
            <w:r w:rsidR="003D69E1" w:rsidRPr="003D69E1">
              <w:rPr>
                <w:sz w:val="22"/>
                <w:szCs w:val="22"/>
              </w:rPr>
              <w:t xml:space="preserve"> au GovTech</w:t>
            </w:r>
            <w:r w:rsidR="00F156CC">
              <w:rPr>
                <w:sz w:val="22"/>
                <w:szCs w:val="22"/>
              </w:rPr>
              <w:t xml:space="preserve"> </w:t>
            </w:r>
            <w:r w:rsidR="003D69E1" w:rsidRPr="003D69E1">
              <w:rPr>
                <w:sz w:val="22"/>
                <w:szCs w:val="22"/>
              </w:rPr>
              <w:t>Lab.</w:t>
            </w:r>
          </w:p>
        </w:tc>
      </w:tr>
    </w:tbl>
    <w:p w14:paraId="4E6C934B" w14:textId="77777777" w:rsidR="00467A76" w:rsidRDefault="00467A76" w:rsidP="00DF36D9">
      <w:pPr>
        <w:jc w:val="both"/>
      </w:pPr>
    </w:p>
    <w:p w14:paraId="77B3F0B7" w14:textId="48666933" w:rsidR="008A01E0" w:rsidRPr="00F1489A" w:rsidRDefault="0B3BD5ED" w:rsidP="00467A76">
      <w:pPr>
        <w:pStyle w:val="ListParagraph"/>
        <w:numPr>
          <w:ilvl w:val="0"/>
          <w:numId w:val="11"/>
        </w:numPr>
        <w:jc w:val="both"/>
        <w:rPr>
          <w:b/>
          <w:bCs/>
        </w:rPr>
      </w:pPr>
      <w:r w:rsidRPr="00F1489A">
        <w:rPr>
          <w:b/>
          <w:bCs/>
        </w:rPr>
        <w:t>Rapports de mise en œuvre</w:t>
      </w:r>
    </w:p>
    <w:p w14:paraId="3EDE2F39" w14:textId="68065D11" w:rsidR="008A01E0" w:rsidRDefault="008A01E0" w:rsidP="008A01E0">
      <w:pPr>
        <w:jc w:val="both"/>
      </w:pPr>
    </w:p>
    <w:p w14:paraId="05EB394F" w14:textId="4FEC7585" w:rsidR="00A8449D" w:rsidRDefault="00A8449D" w:rsidP="008A01E0">
      <w:pPr>
        <w:jc w:val="both"/>
      </w:pPr>
      <w:r>
        <w:t>Un échange de mise en œuvre intermédiaire est prévu pour faire un premier point sur le démarrage du projet. Cet échange permet d’examiner la répartition des ressources mobilisées et d’évaluer les premières avancées. Il offre également l’occasion de discuter des éventuelles difficultés rencontrées et d’y apporter des solutions rapides.</w:t>
      </w:r>
    </w:p>
    <w:p w14:paraId="4E00216C" w14:textId="77777777" w:rsidR="00A8449D" w:rsidRDefault="00A8449D" w:rsidP="008A01E0">
      <w:pPr>
        <w:jc w:val="both"/>
      </w:pPr>
    </w:p>
    <w:p w14:paraId="05BAE644" w14:textId="7C2C8FAE" w:rsidR="008A01E0" w:rsidRDefault="0B3BD5ED" w:rsidP="008A01E0">
      <w:pPr>
        <w:jc w:val="both"/>
      </w:pPr>
      <w:r>
        <w:t xml:space="preserve">Les porteurs de projet s’engagent </w:t>
      </w:r>
      <w:r w:rsidR="00A8449D">
        <w:t xml:space="preserve">ensuite </w:t>
      </w:r>
      <w:r>
        <w:t xml:space="preserve">à </w:t>
      </w:r>
      <w:r w:rsidR="00A8449D">
        <w:t xml:space="preserve">soumettre </w:t>
      </w:r>
      <w:r>
        <w:t>un rapport de mise en œuvre final</w:t>
      </w:r>
      <w:r w:rsidR="00A8449D">
        <w:t>, accompagné d’</w:t>
      </w:r>
      <w:r w:rsidR="00641CB2">
        <w:t>un</w:t>
      </w:r>
      <w:r>
        <w:t xml:space="preserve"> décompte financier </w:t>
      </w:r>
      <w:r w:rsidR="00641CB2">
        <w:t xml:space="preserve">détaillé </w:t>
      </w:r>
      <w:r>
        <w:t>du projet (</w:t>
      </w:r>
      <w:r w:rsidR="00190FC7">
        <w:t xml:space="preserve">accompagné de </w:t>
      </w:r>
      <w:r>
        <w:t xml:space="preserve">copies des factures et preuves de paiement). </w:t>
      </w:r>
      <w:r w:rsidR="00A8449D">
        <w:t>Ce rapport</w:t>
      </w:r>
      <w:r>
        <w:t xml:space="preserve"> devra être remis au plus tard </w:t>
      </w:r>
      <w:r w:rsidR="00976AB2">
        <w:t>deux</w:t>
      </w:r>
      <w:r>
        <w:t xml:space="preserve"> mois après la fin du projet, et ce</w:t>
      </w:r>
      <w:r w:rsidR="00190FC7">
        <w:t>, au plus tard</w:t>
      </w:r>
      <w:r>
        <w:t xml:space="preserve"> le 31 </w:t>
      </w:r>
      <w:r w:rsidR="00976AB2">
        <w:t>août</w:t>
      </w:r>
      <w:r>
        <w:t xml:space="preserve"> 202</w:t>
      </w:r>
      <w:r w:rsidR="00D90EB7">
        <w:t>6</w:t>
      </w:r>
      <w:r>
        <w:t>.</w:t>
      </w:r>
      <w:r w:rsidR="00641CB2">
        <w:t xml:space="preserve"> </w:t>
      </w:r>
    </w:p>
    <w:p w14:paraId="7786C867" w14:textId="2C4B98BD" w:rsidR="008A01E0" w:rsidRDefault="0B3BD5ED" w:rsidP="008A01E0">
      <w:pPr>
        <w:jc w:val="both"/>
      </w:pPr>
      <w:r>
        <w:t xml:space="preserve">Le rapport de mise en œuvre </w:t>
      </w:r>
      <w:r w:rsidR="00A8449D">
        <w:t>final devra rendre</w:t>
      </w:r>
      <w:r>
        <w:t xml:space="preserve"> compte des activités réalisées et des résultats obtenus en matière d’inclusion numérique, analysés selon les indicateurs définis au début du projet.</w:t>
      </w:r>
    </w:p>
    <w:p w14:paraId="6CCD6FE9" w14:textId="1DCC7F8A" w:rsidR="00E00B66" w:rsidRDefault="00A8449D" w:rsidP="008A01E0">
      <w:pPr>
        <w:jc w:val="both"/>
      </w:pPr>
      <w:r>
        <w:t xml:space="preserve">Il devra également </w:t>
      </w:r>
      <w:r w:rsidR="0B3BD5ED">
        <w:t xml:space="preserve">inclure </w:t>
      </w:r>
      <w:r w:rsidR="00F1489A">
        <w:t>l</w:t>
      </w:r>
      <w:r w:rsidR="0B3BD5ED">
        <w:t>’ensemble des productions réalisées (méthodes, outils, ...)</w:t>
      </w:r>
      <w:r w:rsidR="00035DDC">
        <w:t>, des recommandations ainsi qu</w:t>
      </w:r>
      <w:r w:rsidR="005E0697">
        <w:t>e d’</w:t>
      </w:r>
      <w:r w:rsidR="00035DDC">
        <w:t>un retour d’expérience du porteur de projet.</w:t>
      </w:r>
      <w:r w:rsidR="00035DDC">
        <w:rPr>
          <w:rStyle w:val="CommentReference"/>
        </w:rPr>
        <w:t xml:space="preserve"> </w:t>
      </w:r>
      <w:r w:rsidR="00035DDC">
        <w:t>Afin que tous les éléments requis figurent sur le rapport, u</w:t>
      </w:r>
      <w:r>
        <w:t xml:space="preserve">n document sera fourni pour guider la rédaction de leur rapport </w:t>
      </w:r>
      <w:r w:rsidR="0022728B">
        <w:t>final</w:t>
      </w:r>
      <w:r>
        <w:t>.</w:t>
      </w:r>
    </w:p>
    <w:p w14:paraId="0240554B" w14:textId="77777777" w:rsidR="005E0697" w:rsidRDefault="005E0697" w:rsidP="008A01E0">
      <w:pPr>
        <w:jc w:val="both"/>
      </w:pPr>
    </w:p>
    <w:p w14:paraId="664A6AA5" w14:textId="3FBF5F88" w:rsidR="008A01E0" w:rsidRPr="008A01E0" w:rsidRDefault="0B3BD5ED" w:rsidP="0B3BD5ED">
      <w:pPr>
        <w:pStyle w:val="ListParagraph"/>
        <w:numPr>
          <w:ilvl w:val="0"/>
          <w:numId w:val="11"/>
        </w:numPr>
        <w:jc w:val="both"/>
        <w:rPr>
          <w:b/>
          <w:bCs/>
        </w:rPr>
      </w:pPr>
      <w:r w:rsidRPr="0B3BD5ED">
        <w:rPr>
          <w:b/>
          <w:bCs/>
        </w:rPr>
        <w:t>Constitution des dossiers de candidatures au présent appel</w:t>
      </w:r>
    </w:p>
    <w:p w14:paraId="2BC0B6FB" w14:textId="77777777" w:rsidR="008A01E0" w:rsidRDefault="008A01E0" w:rsidP="008A01E0">
      <w:pPr>
        <w:jc w:val="both"/>
      </w:pPr>
    </w:p>
    <w:p w14:paraId="5FB569F6" w14:textId="57B319FC" w:rsidR="008A01E0" w:rsidRDefault="0B3BD5ED" w:rsidP="008A01E0">
      <w:pPr>
        <w:jc w:val="both"/>
      </w:pPr>
      <w:r>
        <w:t>Les organisations souhaitant répondre à l’appel sont invitées à soumettre un dossier de candidature contenant les documents suivants dûment remplis :</w:t>
      </w:r>
    </w:p>
    <w:p w14:paraId="4B8D16E3" w14:textId="77777777" w:rsidR="00A52933" w:rsidRDefault="00A52933" w:rsidP="008A01E0">
      <w:pPr>
        <w:jc w:val="both"/>
      </w:pPr>
    </w:p>
    <w:p w14:paraId="4DAEDF6D" w14:textId="19387943" w:rsidR="008A01E0" w:rsidRDefault="0B3BD5ED" w:rsidP="008A01E0">
      <w:pPr>
        <w:pStyle w:val="ListParagraph"/>
        <w:numPr>
          <w:ilvl w:val="0"/>
          <w:numId w:val="12"/>
        </w:numPr>
        <w:jc w:val="both"/>
      </w:pPr>
      <w:r>
        <w:t xml:space="preserve">Annexe 1 : La fiche de candidature </w:t>
      </w:r>
      <w:r w:rsidR="00E00B66">
        <w:t xml:space="preserve">complétée et </w:t>
      </w:r>
      <w:r>
        <w:t>signée (incluant la check-list et le calendrier de réalisation)</w:t>
      </w:r>
    </w:p>
    <w:p w14:paraId="48BE495D" w14:textId="6D270EDE" w:rsidR="008A01E0" w:rsidRDefault="0B3BD5ED" w:rsidP="008A01E0">
      <w:pPr>
        <w:pStyle w:val="ListParagraph"/>
        <w:numPr>
          <w:ilvl w:val="0"/>
          <w:numId w:val="12"/>
        </w:numPr>
        <w:jc w:val="both"/>
      </w:pPr>
      <w:r>
        <w:t>Annexe 2 : Le budget prévisionnel signé</w:t>
      </w:r>
    </w:p>
    <w:p w14:paraId="66632B72" w14:textId="77777777" w:rsidR="00ED1234" w:rsidRDefault="00ED1234" w:rsidP="00ED1234">
      <w:pPr>
        <w:ind w:left="360"/>
        <w:jc w:val="both"/>
      </w:pPr>
    </w:p>
    <w:p w14:paraId="7563496B" w14:textId="35B566BB" w:rsidR="008A01E0" w:rsidRDefault="0B3BD5ED" w:rsidP="008A01E0">
      <w:pPr>
        <w:jc w:val="both"/>
      </w:pPr>
      <w:r>
        <w:lastRenderedPageBreak/>
        <w:t xml:space="preserve">Les documents « Fiche de candidature » et « budget prévisionnel » sont téléchargeables sur le site </w:t>
      </w:r>
      <w:hyperlink r:id="rId16">
        <w:r w:rsidRPr="0B3BD5ED">
          <w:rPr>
            <w:rStyle w:val="Hyperlink"/>
            <w:rFonts w:ascii="Calibri" w:hAnsi="Calibri"/>
            <w:sz w:val="24"/>
          </w:rPr>
          <w:t>https://digital.gouvernement.lu</w:t>
        </w:r>
      </w:hyperlink>
      <w:r>
        <w:t xml:space="preserve">. </w:t>
      </w:r>
    </w:p>
    <w:p w14:paraId="66DBDE9E" w14:textId="2E877D61" w:rsidR="008A01E0" w:rsidRDefault="008A01E0" w:rsidP="00DF36D9">
      <w:pPr>
        <w:jc w:val="both"/>
      </w:pPr>
    </w:p>
    <w:p w14:paraId="4E0DE7D2" w14:textId="20556E5F" w:rsidR="008A01E0" w:rsidRDefault="0B3BD5ED" w:rsidP="008A01E0">
      <w:pPr>
        <w:jc w:val="both"/>
      </w:pPr>
      <w:r>
        <w:t>Aucun dossier de candidature ne pourra être retenu si les documents en question n’ont pas été soumis en bonne et due forme dans les délais de soumission prévus dans cet appel.</w:t>
      </w:r>
    </w:p>
    <w:p w14:paraId="1EE1C509" w14:textId="1E545F79" w:rsidR="008A01E0" w:rsidRDefault="004776C4" w:rsidP="008A01E0">
      <w:pPr>
        <w:jc w:val="both"/>
      </w:pPr>
      <w:r>
        <w:t>À la suite de</w:t>
      </w:r>
      <w:r w:rsidR="0B3BD5ED">
        <w:t xml:space="preserve"> la soumission du dossier, un accusé de réception est transmis au porteur de projet.</w:t>
      </w:r>
    </w:p>
    <w:p w14:paraId="6B25E520" w14:textId="21C1560C" w:rsidR="008A01E0" w:rsidRDefault="008A01E0" w:rsidP="008A01E0">
      <w:pPr>
        <w:jc w:val="both"/>
      </w:pPr>
    </w:p>
    <w:p w14:paraId="110ED451" w14:textId="4394DAF0" w:rsidR="008A01E0" w:rsidRDefault="008A01E0" w:rsidP="008A01E0">
      <w:pPr>
        <w:jc w:val="both"/>
      </w:pPr>
    </w:p>
    <w:tbl>
      <w:tblPr>
        <w:tblStyle w:val="TableGrid"/>
        <w:tblW w:w="0" w:type="auto"/>
        <w:tblLook w:val="04A0" w:firstRow="1" w:lastRow="0" w:firstColumn="1" w:lastColumn="0" w:noHBand="0" w:noVBand="1"/>
      </w:tblPr>
      <w:tblGrid>
        <w:gridCol w:w="9344"/>
      </w:tblGrid>
      <w:tr w:rsidR="008A01E0" w14:paraId="5F5D33FA" w14:textId="77777777" w:rsidTr="0B3BD5ED">
        <w:tc>
          <w:tcPr>
            <w:tcW w:w="9344" w:type="dxa"/>
          </w:tcPr>
          <w:p w14:paraId="54EB8A65" w14:textId="26F8C567" w:rsidR="008A01E0" w:rsidRDefault="0B3BD5ED" w:rsidP="008A01E0">
            <w:pPr>
              <w:jc w:val="both"/>
            </w:pPr>
            <w:r>
              <w:t xml:space="preserve">La date limite d’envoi des candidatures au présent appel est fixée au </w:t>
            </w:r>
            <w:r w:rsidR="001E407B" w:rsidRPr="00784D2D">
              <w:rPr>
                <w:b/>
                <w:bCs/>
              </w:rPr>
              <w:t>1</w:t>
            </w:r>
            <w:r w:rsidR="006A7FA5" w:rsidRPr="00784D2D">
              <w:rPr>
                <w:b/>
                <w:bCs/>
              </w:rPr>
              <w:t>3</w:t>
            </w:r>
            <w:r w:rsidR="00765051" w:rsidRPr="00784D2D">
              <w:rPr>
                <w:b/>
                <w:bCs/>
              </w:rPr>
              <w:t xml:space="preserve"> février</w:t>
            </w:r>
            <w:r w:rsidR="00B223C6" w:rsidRPr="00784D2D">
              <w:rPr>
                <w:b/>
                <w:bCs/>
              </w:rPr>
              <w:t xml:space="preserve"> </w:t>
            </w:r>
            <w:r w:rsidR="001B3CFE" w:rsidRPr="00784D2D">
              <w:rPr>
                <w:b/>
                <w:bCs/>
              </w:rPr>
              <w:t>202</w:t>
            </w:r>
            <w:r w:rsidR="00D90EB7" w:rsidRPr="00784D2D">
              <w:rPr>
                <w:b/>
                <w:bCs/>
              </w:rPr>
              <w:t>6</w:t>
            </w:r>
            <w:r w:rsidR="001B3CFE" w:rsidRPr="00F1489A">
              <w:rPr>
                <w:b/>
                <w:bCs/>
              </w:rPr>
              <w:t xml:space="preserve"> à</w:t>
            </w:r>
            <w:r w:rsidRPr="00F1489A">
              <w:rPr>
                <w:b/>
                <w:bCs/>
              </w:rPr>
              <w:t xml:space="preserve"> 12h00 (midi)</w:t>
            </w:r>
            <w:r w:rsidRPr="00F1489A">
              <w:t>.</w:t>
            </w:r>
          </w:p>
          <w:p w14:paraId="5E362CB0" w14:textId="446934F8" w:rsidR="00467296" w:rsidRPr="00467296" w:rsidRDefault="0B3BD5ED" w:rsidP="0B3BD5ED">
            <w:pPr>
              <w:jc w:val="both"/>
            </w:pPr>
            <w:r>
              <w:t xml:space="preserve">La fiche de candidature et les documents annexés sont à envoyer uniquement pour courrier électronique à l’adresse mail : </w:t>
            </w:r>
            <w:hyperlink r:id="rId17">
              <w:r w:rsidRPr="0B3BD5ED">
                <w:rPr>
                  <w:rStyle w:val="Hyperlink"/>
                </w:rPr>
                <w:t>i</w:t>
              </w:r>
              <w:r w:rsidRPr="007569B3">
                <w:rPr>
                  <w:rStyle w:val="Hyperlink"/>
                  <w:rFonts w:ascii="Calibri" w:eastAsia="Calibri" w:hAnsi="Calibri"/>
                  <w:szCs w:val="22"/>
                </w:rPr>
                <w:t>nfo@zesummendigital.public.lu</w:t>
              </w:r>
            </w:hyperlink>
            <w:r w:rsidRPr="007569B3">
              <w:rPr>
                <w:rFonts w:eastAsia="Calibri"/>
                <w:sz w:val="22"/>
                <w:szCs w:val="22"/>
              </w:rPr>
              <w:t xml:space="preserve">  </w:t>
            </w:r>
          </w:p>
        </w:tc>
      </w:tr>
    </w:tbl>
    <w:p w14:paraId="5447BB23" w14:textId="77777777" w:rsidR="005E0697" w:rsidRDefault="005E0697" w:rsidP="008A01E0">
      <w:pPr>
        <w:jc w:val="both"/>
      </w:pPr>
    </w:p>
    <w:p w14:paraId="6631C12B" w14:textId="77777777" w:rsidR="001260EC" w:rsidRDefault="001260EC" w:rsidP="008A01E0">
      <w:pPr>
        <w:jc w:val="both"/>
      </w:pPr>
    </w:p>
    <w:p w14:paraId="72F66A98" w14:textId="606E3A62" w:rsidR="008A01E0" w:rsidRDefault="0B3BD5ED" w:rsidP="0B3BD5ED">
      <w:pPr>
        <w:pStyle w:val="ListParagraph"/>
        <w:numPr>
          <w:ilvl w:val="0"/>
          <w:numId w:val="11"/>
        </w:numPr>
        <w:jc w:val="both"/>
        <w:rPr>
          <w:b/>
          <w:bCs/>
        </w:rPr>
      </w:pPr>
      <w:r w:rsidRPr="0B3BD5ED">
        <w:rPr>
          <w:b/>
          <w:bCs/>
        </w:rPr>
        <w:t>Prochaines étapes et calendrier indicatif</w:t>
      </w:r>
    </w:p>
    <w:p w14:paraId="40B1021E" w14:textId="77777777" w:rsidR="007A4C44" w:rsidRDefault="007A4C44" w:rsidP="007A4C44">
      <w:pPr>
        <w:jc w:val="both"/>
      </w:pPr>
    </w:p>
    <w:p w14:paraId="72E7162B" w14:textId="6067E7A8" w:rsidR="007A4C44" w:rsidRDefault="2C8BDCEB" w:rsidP="007A4C44">
      <w:pPr>
        <w:jc w:val="both"/>
      </w:pPr>
      <w:r>
        <w:t xml:space="preserve">À partir du </w:t>
      </w:r>
      <w:r w:rsidR="001B3CFE" w:rsidRPr="00784D2D">
        <w:rPr>
          <w:b/>
          <w:bCs/>
        </w:rPr>
        <w:t>1</w:t>
      </w:r>
      <w:r w:rsidR="006A7FA5" w:rsidRPr="00784D2D">
        <w:rPr>
          <w:b/>
          <w:bCs/>
        </w:rPr>
        <w:t>3</w:t>
      </w:r>
      <w:r w:rsidR="001B3CFE" w:rsidRPr="00784D2D">
        <w:rPr>
          <w:b/>
          <w:bCs/>
        </w:rPr>
        <w:t xml:space="preserve"> février 202</w:t>
      </w:r>
      <w:r w:rsidR="00A00E8F" w:rsidRPr="00784D2D">
        <w:rPr>
          <w:b/>
          <w:bCs/>
        </w:rPr>
        <w:t>6</w:t>
      </w:r>
      <w:r>
        <w:t>, plusieurs étapes seront réalisées :</w:t>
      </w:r>
    </w:p>
    <w:p w14:paraId="21C595CF" w14:textId="77777777" w:rsidR="00E555C3" w:rsidRDefault="00E555C3" w:rsidP="007A4C44">
      <w:pPr>
        <w:jc w:val="both"/>
      </w:pPr>
    </w:p>
    <w:p w14:paraId="26D1BDF3" w14:textId="438EA805" w:rsidR="007A4C44" w:rsidRDefault="0B3BD5ED" w:rsidP="00E555C3">
      <w:pPr>
        <w:pStyle w:val="ListParagraph"/>
        <w:numPr>
          <w:ilvl w:val="0"/>
          <w:numId w:val="14"/>
        </w:numPr>
        <w:jc w:val="both"/>
      </w:pPr>
      <w:r>
        <w:t>Une présélection des projets éligibles.</w:t>
      </w:r>
    </w:p>
    <w:p w14:paraId="2184D23D" w14:textId="3B53E0E3" w:rsidR="007A4C44" w:rsidRDefault="0B3BD5ED" w:rsidP="00E555C3">
      <w:pPr>
        <w:pStyle w:val="ListParagraph"/>
        <w:numPr>
          <w:ilvl w:val="0"/>
          <w:numId w:val="14"/>
        </w:numPr>
        <w:ind w:left="1418" w:hanging="1069"/>
        <w:jc w:val="both"/>
      </w:pPr>
      <w:r>
        <w:t>Les porteurs de projets présélectionnés</w:t>
      </w:r>
      <w:r w:rsidR="007F0AAD">
        <w:t>, ainsi que</w:t>
      </w:r>
      <w:r>
        <w:t xml:space="preserve"> leurs partenaires</w:t>
      </w:r>
      <w:r w:rsidR="007F0AAD">
        <w:t>,</w:t>
      </w:r>
      <w:r>
        <w:t xml:space="preserve"> seront contactés et</w:t>
      </w:r>
      <w:r w:rsidR="007F0AAD">
        <w:t xml:space="preserve"> </w:t>
      </w:r>
      <w:r>
        <w:t xml:space="preserve">invités à une réunion </w:t>
      </w:r>
      <w:r w:rsidR="003D69E1">
        <w:t>pour présenter leurs propositions de projets d</w:t>
      </w:r>
      <w:r w:rsidR="008C0FBD">
        <w:t>evant le jury</w:t>
      </w:r>
      <w:r w:rsidR="007F0AAD">
        <w:t>,</w:t>
      </w:r>
      <w:r w:rsidR="008C0FBD">
        <w:t xml:space="preserve"> au GovTechLab le</w:t>
      </w:r>
      <w:r w:rsidR="001B3CFE">
        <w:t xml:space="preserve">s </w:t>
      </w:r>
      <w:r w:rsidR="00784D2D" w:rsidRPr="00236ED7">
        <w:rPr>
          <w:b/>
          <w:bCs/>
        </w:rPr>
        <w:t>9</w:t>
      </w:r>
      <w:r w:rsidR="001B3CFE" w:rsidRPr="00236ED7">
        <w:rPr>
          <w:b/>
          <w:bCs/>
        </w:rPr>
        <w:t xml:space="preserve"> et </w:t>
      </w:r>
      <w:r w:rsidR="00784D2D" w:rsidRPr="00236ED7">
        <w:rPr>
          <w:b/>
          <w:bCs/>
        </w:rPr>
        <w:t>10</w:t>
      </w:r>
      <w:r w:rsidR="001B3CFE" w:rsidRPr="00236ED7">
        <w:rPr>
          <w:b/>
          <w:bCs/>
        </w:rPr>
        <w:t xml:space="preserve"> mars 202</w:t>
      </w:r>
      <w:r w:rsidR="00F81E03" w:rsidRPr="00236ED7">
        <w:rPr>
          <w:b/>
          <w:bCs/>
        </w:rPr>
        <w:t>6</w:t>
      </w:r>
      <w:r w:rsidR="003D69E1">
        <w:t>.</w:t>
      </w:r>
    </w:p>
    <w:p w14:paraId="0A8E818E" w14:textId="7D2666A2" w:rsidR="007F0AAD" w:rsidRDefault="007F0AAD" w:rsidP="007F0AAD">
      <w:pPr>
        <w:pStyle w:val="ListParagraph"/>
        <w:numPr>
          <w:ilvl w:val="0"/>
          <w:numId w:val="14"/>
        </w:numPr>
        <w:jc w:val="both"/>
      </w:pPr>
      <w:r>
        <w:t>Après</w:t>
      </w:r>
      <w:r w:rsidR="0B3BD5ED">
        <w:t xml:space="preserve"> la réunion, les porteurs de projets p</w:t>
      </w:r>
      <w:r>
        <w:t>ourront</w:t>
      </w:r>
      <w:r w:rsidR="0B3BD5ED">
        <w:t xml:space="preserve"> être invités à réviser leu</w:t>
      </w:r>
      <w:r w:rsidR="00B223C6">
        <w:t>r</w:t>
      </w:r>
      <w:r>
        <w:t xml:space="preserve"> projet</w:t>
      </w:r>
      <w:r w:rsidR="0B3BD5ED">
        <w:t>.</w:t>
      </w:r>
    </w:p>
    <w:p w14:paraId="3994988B" w14:textId="143EF458" w:rsidR="007A4C44" w:rsidRDefault="0B3BD5ED" w:rsidP="00E555C3">
      <w:pPr>
        <w:pStyle w:val="ListParagraph"/>
        <w:numPr>
          <w:ilvl w:val="0"/>
          <w:numId w:val="14"/>
        </w:numPr>
        <w:ind w:left="1418" w:hanging="1058"/>
        <w:jc w:val="both"/>
      </w:pPr>
      <w:r>
        <w:t>Le groupe de travail interministériel « </w:t>
      </w:r>
      <w:r w:rsidR="007F0AAD">
        <w:t>I</w:t>
      </w:r>
      <w:r>
        <w:t>nclusion numérique » procédera à la sélection finale des proje</w:t>
      </w:r>
      <w:r w:rsidR="00820FAE">
        <w:t>ts. Les porteurs de projets seront ensuite informés de la décision par l’envoi de</w:t>
      </w:r>
      <w:r>
        <w:t xml:space="preserve"> lettres d’acceptation </w:t>
      </w:r>
      <w:r w:rsidR="00820FAE">
        <w:t>ou</w:t>
      </w:r>
      <w:r>
        <w:t xml:space="preserve"> de refus</w:t>
      </w:r>
      <w:r w:rsidR="00820FAE">
        <w:t>.</w:t>
      </w:r>
    </w:p>
    <w:p w14:paraId="0A1D371A" w14:textId="6A950F61" w:rsidR="00E555C3" w:rsidRDefault="0B3BD5ED" w:rsidP="00E555C3">
      <w:pPr>
        <w:pStyle w:val="ListParagraph"/>
        <w:numPr>
          <w:ilvl w:val="0"/>
          <w:numId w:val="14"/>
        </w:numPr>
        <w:tabs>
          <w:tab w:val="left" w:pos="993"/>
        </w:tabs>
        <w:ind w:left="1418" w:hanging="1058"/>
        <w:jc w:val="both"/>
      </w:pPr>
      <w:r>
        <w:t>Une convention bilatérale sera signée avec les organismes sélectionnés avant le début du projet.</w:t>
      </w:r>
    </w:p>
    <w:p w14:paraId="737BFBD7" w14:textId="77777777" w:rsidR="00E555C3" w:rsidRDefault="00E555C3" w:rsidP="00E555C3">
      <w:pPr>
        <w:pStyle w:val="ListParagraph"/>
        <w:tabs>
          <w:tab w:val="left" w:pos="993"/>
        </w:tabs>
        <w:ind w:left="1418"/>
        <w:jc w:val="both"/>
      </w:pPr>
    </w:p>
    <w:p w14:paraId="57FC331A" w14:textId="7B553D06" w:rsidR="007A4C44" w:rsidRDefault="0B3BD5ED" w:rsidP="007A4C44">
      <w:pPr>
        <w:jc w:val="both"/>
      </w:pPr>
      <w:r>
        <w:t>Les projets sélectionnés seront financés sur une période maximale de 12 mois. La date de début des projets sera fixée au 1er juillet 202</w:t>
      </w:r>
      <w:r w:rsidR="009B0690">
        <w:t>6</w:t>
      </w:r>
      <w:r>
        <w:t>.</w:t>
      </w:r>
    </w:p>
    <w:p w14:paraId="383C1EBC" w14:textId="77777777" w:rsidR="009914CB" w:rsidRDefault="009914CB" w:rsidP="007A4C44">
      <w:pPr>
        <w:jc w:val="both"/>
      </w:pPr>
    </w:p>
    <w:p w14:paraId="0F3315DA" w14:textId="77777777" w:rsidR="001260EC" w:rsidRPr="007A4C44" w:rsidRDefault="001260EC" w:rsidP="007A4C44">
      <w:pPr>
        <w:jc w:val="both"/>
      </w:pPr>
    </w:p>
    <w:p w14:paraId="7B439837" w14:textId="230BF3DA" w:rsidR="009A75A3" w:rsidRPr="00B96555" w:rsidRDefault="0B3BD5ED" w:rsidP="0B3BD5ED">
      <w:pPr>
        <w:pStyle w:val="ListParagraph"/>
        <w:numPr>
          <w:ilvl w:val="0"/>
          <w:numId w:val="11"/>
        </w:numPr>
        <w:jc w:val="both"/>
        <w:rPr>
          <w:b/>
          <w:bCs/>
        </w:rPr>
      </w:pPr>
      <w:r w:rsidRPr="0B3BD5ED">
        <w:rPr>
          <w:b/>
          <w:bCs/>
        </w:rPr>
        <w:t>Contact</w:t>
      </w:r>
    </w:p>
    <w:p w14:paraId="03C7C1BE" w14:textId="77777777" w:rsidR="000C24AE" w:rsidRDefault="000C24AE" w:rsidP="009A75A3">
      <w:pPr>
        <w:jc w:val="both"/>
      </w:pPr>
    </w:p>
    <w:p w14:paraId="496875FF" w14:textId="5B9DA5DC" w:rsidR="00824037" w:rsidRDefault="0B3BD5ED" w:rsidP="000C24AE">
      <w:pPr>
        <w:jc w:val="both"/>
      </w:pPr>
      <w:r>
        <w:t xml:space="preserve">Pour toute information, </w:t>
      </w:r>
      <w:r w:rsidR="00D33AC4">
        <w:t xml:space="preserve">Madame </w:t>
      </w:r>
      <w:r w:rsidR="009663C0">
        <w:t>Florence FOURNEL</w:t>
      </w:r>
      <w:r>
        <w:t xml:space="preserve"> (247-721</w:t>
      </w:r>
      <w:r w:rsidR="009663C0">
        <w:t>9</w:t>
      </w:r>
      <w:r>
        <w:t>1)</w:t>
      </w:r>
      <w:r w:rsidR="0011031D">
        <w:t xml:space="preserve"> </w:t>
      </w:r>
      <w:hyperlink r:id="rId18" w:history="1">
        <w:r w:rsidR="0011031D" w:rsidRPr="00881FC6">
          <w:rPr>
            <w:rStyle w:val="Hyperlink"/>
            <w:rFonts w:ascii="Calibri" w:hAnsi="Calibri"/>
            <w:sz w:val="24"/>
          </w:rPr>
          <w:t>florence.fournel@digital.etat.lu</w:t>
        </w:r>
      </w:hyperlink>
      <w:r>
        <w:t>, se tient à votre disposition.</w:t>
      </w:r>
    </w:p>
    <w:p w14:paraId="0F8E5262" w14:textId="77777777" w:rsidR="00FF4E15" w:rsidRPr="00FF4E15" w:rsidRDefault="00FF4E15" w:rsidP="001B3CFE">
      <w:pPr>
        <w:jc w:val="both"/>
      </w:pPr>
    </w:p>
    <w:sectPr w:rsidR="00FF4E15" w:rsidRPr="00FF4E15" w:rsidSect="00D06767">
      <w:headerReference w:type="even" r:id="rId19"/>
      <w:headerReference w:type="default" r:id="rId20"/>
      <w:footerReference w:type="default" r:id="rId21"/>
      <w:headerReference w:type="first" r:id="rId22"/>
      <w:footerReference w:type="first" r:id="rId23"/>
      <w:pgSz w:w="11906" w:h="16838"/>
      <w:pgMar w:top="2268" w:right="1134" w:bottom="680" w:left="1418" w:header="1134" w:footer="680" w:gutter="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Florence Fournel" w:date="2025-10-03T14:11:00Z" w:initials="FF">
    <w:p w14:paraId="1ECCABF9" w14:textId="3B0CB877" w:rsidR="00D90EB7" w:rsidRDefault="00D90EB7" w:rsidP="00D90EB7">
      <w:pPr>
        <w:pStyle w:val="CommentText"/>
      </w:pPr>
      <w:r>
        <w:rPr>
          <w:rStyle w:val="CommentReference"/>
        </w:rPr>
        <w:annotationRef/>
      </w:r>
      <w:r>
        <w:t>identials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ECCABF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CFD6432" w16cex:dateUtc="2025-10-03T12: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CCABF9" w16cid:durableId="5CFD643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A344F" w14:textId="77777777" w:rsidR="00177A60" w:rsidRDefault="00177A60">
      <w:r>
        <w:separator/>
      </w:r>
    </w:p>
  </w:endnote>
  <w:endnote w:type="continuationSeparator" w:id="0">
    <w:p w14:paraId="65AB1725" w14:textId="77777777" w:rsidR="00177A60" w:rsidRDefault="00177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78BF3" w14:textId="2ED7994F" w:rsidR="005B7321" w:rsidRPr="00B815F6" w:rsidRDefault="00D67449" w:rsidP="0B3BD5ED">
    <w:pPr>
      <w:pStyle w:val="Footer"/>
      <w:jc w:val="center"/>
      <w:rPr>
        <w:sz w:val="18"/>
        <w:szCs w:val="18"/>
      </w:rPr>
    </w:pPr>
    <w:r w:rsidRPr="0B3BD5ED">
      <w:rPr>
        <w:rStyle w:val="PageNumber"/>
        <w:noProof/>
        <w:sz w:val="18"/>
        <w:szCs w:val="18"/>
      </w:rPr>
      <w:fldChar w:fldCharType="begin"/>
    </w:r>
    <w:r w:rsidRPr="0B3BD5ED">
      <w:rPr>
        <w:rStyle w:val="PageNumber"/>
        <w:noProof/>
        <w:sz w:val="18"/>
        <w:szCs w:val="18"/>
      </w:rPr>
      <w:instrText xml:space="preserve"> PAGE </w:instrText>
    </w:r>
    <w:r w:rsidRPr="0B3BD5ED">
      <w:rPr>
        <w:rStyle w:val="PageNumber"/>
        <w:noProof/>
        <w:sz w:val="18"/>
        <w:szCs w:val="18"/>
      </w:rPr>
      <w:fldChar w:fldCharType="separate"/>
    </w:r>
    <w:r w:rsidR="00E00D13">
      <w:rPr>
        <w:rStyle w:val="PageNumber"/>
        <w:noProof/>
        <w:sz w:val="18"/>
        <w:szCs w:val="18"/>
      </w:rPr>
      <w:t>6</w:t>
    </w:r>
    <w:r w:rsidRPr="0B3BD5ED">
      <w:rPr>
        <w:rStyle w:val="PageNumber"/>
        <w:noProof/>
        <w:sz w:val="18"/>
        <w:szCs w:val="18"/>
      </w:rPr>
      <w:fldChar w:fldCharType="end"/>
    </w:r>
    <w:r w:rsidR="0B3BD5ED" w:rsidRPr="0B3BD5ED">
      <w:rPr>
        <w:rStyle w:val="PageNumber"/>
        <w:sz w:val="18"/>
        <w:szCs w:val="18"/>
      </w:rPr>
      <w:t>/</w:t>
    </w:r>
    <w:r w:rsidRPr="0B3BD5ED">
      <w:rPr>
        <w:rStyle w:val="PageNumber"/>
        <w:noProof/>
        <w:sz w:val="18"/>
        <w:szCs w:val="18"/>
      </w:rPr>
      <w:fldChar w:fldCharType="begin"/>
    </w:r>
    <w:r w:rsidRPr="0B3BD5ED">
      <w:rPr>
        <w:rStyle w:val="PageNumber"/>
        <w:noProof/>
        <w:sz w:val="18"/>
        <w:szCs w:val="18"/>
      </w:rPr>
      <w:instrText xml:space="preserve"> NUMPAGES </w:instrText>
    </w:r>
    <w:r w:rsidRPr="0B3BD5ED">
      <w:rPr>
        <w:rStyle w:val="PageNumber"/>
        <w:noProof/>
        <w:sz w:val="18"/>
        <w:szCs w:val="18"/>
      </w:rPr>
      <w:fldChar w:fldCharType="separate"/>
    </w:r>
    <w:r w:rsidR="00E00D13">
      <w:rPr>
        <w:rStyle w:val="PageNumber"/>
        <w:noProof/>
        <w:sz w:val="18"/>
        <w:szCs w:val="18"/>
      </w:rPr>
      <w:t>6</w:t>
    </w:r>
    <w:r w:rsidRPr="0B3BD5ED">
      <w:rPr>
        <w:rStyle w:val="PageNumbe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A0F86" w14:textId="77777777" w:rsidR="005B7321" w:rsidRPr="001629EF" w:rsidRDefault="00D67449" w:rsidP="0B3BD5ED">
    <w:pPr>
      <w:pStyle w:val="Footer"/>
      <w:tabs>
        <w:tab w:val="left" w:pos="2353"/>
        <w:tab w:val="left" w:pos="4706"/>
        <w:tab w:val="left" w:pos="7059"/>
      </w:tabs>
      <w:ind w:right="0"/>
      <w:rPr>
        <w:color w:val="808080" w:themeColor="text1" w:themeTint="7F"/>
        <w:lang w:val="fr-CH"/>
      </w:rPr>
    </w:pPr>
    <w:r w:rsidRPr="0B3BD5ED">
      <w:rPr>
        <w:color w:val="808080"/>
        <w:lang w:val="fr-CH"/>
      </w:rPr>
      <w:t>4, rue de la Congrégation</w:t>
    </w:r>
    <w:r w:rsidRPr="00753B53">
      <w:rPr>
        <w:color w:val="808080"/>
        <w:szCs w:val="16"/>
        <w:lang w:val="fr-FR"/>
      </w:rPr>
      <w:tab/>
    </w:r>
    <w:r w:rsidRPr="0B3BD5ED">
      <w:rPr>
        <w:color w:val="808080"/>
        <w:lang w:val="fr-FR"/>
      </w:rPr>
      <w:t>Tél. (+352) 247-72100</w:t>
    </w:r>
    <w:r w:rsidRPr="00753B53">
      <w:rPr>
        <w:color w:val="808080"/>
        <w:szCs w:val="16"/>
        <w:lang w:val="fr-CH"/>
      </w:rPr>
      <w:tab/>
    </w:r>
    <w:r w:rsidRPr="0B3BD5ED">
      <w:rPr>
        <w:color w:val="808080"/>
        <w:lang w:val="fr-CH"/>
      </w:rPr>
      <w:t>info@digital.etat.lu</w:t>
    </w:r>
    <w:r w:rsidRPr="00753B53">
      <w:rPr>
        <w:color w:val="808080"/>
        <w:szCs w:val="16"/>
        <w:lang w:val="fr-CH"/>
      </w:rPr>
      <w:tab/>
    </w:r>
    <w:r w:rsidRPr="0B3BD5ED">
      <w:rPr>
        <w:color w:val="808080"/>
        <w:lang w:val="fr-CH"/>
      </w:rPr>
      <w:t>www.digitalisation.lu</w:t>
    </w:r>
    <w:r w:rsidRPr="00753B53">
      <w:rPr>
        <w:color w:val="808080"/>
        <w:szCs w:val="16"/>
        <w:lang w:val="fr-CH"/>
      </w:rPr>
      <w:br/>
    </w:r>
    <w:r w:rsidRPr="0B3BD5ED">
      <w:rPr>
        <w:color w:val="808080"/>
        <w:lang w:val="fr-CH"/>
      </w:rPr>
      <w:t>L-1352 Luxembourg</w:t>
    </w:r>
    <w:r w:rsidRPr="00753B53">
      <w:rPr>
        <w:color w:val="808080"/>
        <w:szCs w:val="16"/>
        <w:lang w:val="fr-CH"/>
      </w:rPr>
      <w:tab/>
    </w:r>
    <w:r w:rsidRPr="00753B53">
      <w:rPr>
        <w:color w:val="808080"/>
        <w:szCs w:val="16"/>
        <w:lang w:val="fr-CH"/>
      </w:rPr>
      <w:tab/>
    </w:r>
    <w:r w:rsidRPr="00753B53">
      <w:rPr>
        <w:color w:val="808080"/>
        <w:szCs w:val="16"/>
        <w:lang w:val="fr-CH"/>
      </w:rPr>
      <w:tab/>
    </w:r>
    <w:r w:rsidRPr="0B3BD5ED">
      <w:rPr>
        <w:color w:val="808080"/>
        <w:lang w:val="fr-CH"/>
      </w:rPr>
      <w:t>www.luxembourg.lu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57A1B" w14:textId="77777777" w:rsidR="00177A60" w:rsidRDefault="00177A60">
      <w:r>
        <w:separator/>
      </w:r>
    </w:p>
  </w:footnote>
  <w:footnote w:type="continuationSeparator" w:id="0">
    <w:p w14:paraId="01DA18B1" w14:textId="77777777" w:rsidR="00177A60" w:rsidRDefault="00177A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4FC7A" w14:textId="77777777" w:rsidR="005B7321" w:rsidRDefault="00D67449">
    <w:pPr>
      <w:pStyle w:val="Header"/>
    </w:pPr>
    <w:r>
      <w:rPr>
        <w:noProof/>
        <w:lang w:val="lb-LU" w:eastAsia="lb-LU"/>
      </w:rPr>
      <w:drawing>
        <wp:inline distT="0" distB="0" distL="0" distR="0" wp14:anchorId="7ED3B4A0" wp14:editId="1AC5673F">
          <wp:extent cx="3039423" cy="720138"/>
          <wp:effectExtent l="0" t="0" r="0" b="4445"/>
          <wp:docPr id="4" name="picture" descr="GOUV_S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3039423" cy="72013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69476" w14:textId="77777777" w:rsidR="005B7321" w:rsidRDefault="00D67449" w:rsidP="00B815F6">
    <w:pPr>
      <w:pStyle w:val="Header"/>
      <w:spacing w:after="480"/>
    </w:pPr>
    <w:r>
      <w:rPr>
        <w:noProof/>
        <w:lang w:val="lb-LU" w:eastAsia="lb-LU"/>
      </w:rPr>
      <w:drawing>
        <wp:inline distT="0" distB="0" distL="0" distR="0" wp14:anchorId="22169EF3" wp14:editId="58DC998E">
          <wp:extent cx="3039423" cy="720138"/>
          <wp:effectExtent l="0" t="0" r="0" b="4445"/>
          <wp:docPr id="5" name="picture" descr="GOUV_S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3039423" cy="72013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A2DB8" w14:textId="77777777" w:rsidR="005B7321" w:rsidRDefault="00D67449" w:rsidP="00B815F6">
    <w:pPr>
      <w:pStyle w:val="Header"/>
      <w:spacing w:after="480"/>
    </w:pPr>
    <w:r>
      <w:rPr>
        <w:noProof/>
        <w:lang w:val="lb-LU" w:eastAsia="lb-LU"/>
      </w:rPr>
      <w:drawing>
        <wp:inline distT="0" distB="0" distL="0" distR="0" wp14:anchorId="21FBCF27" wp14:editId="5446DA97">
          <wp:extent cx="3039423" cy="720138"/>
          <wp:effectExtent l="0" t="0" r="0" b="4445"/>
          <wp:docPr id="6" name="picture" descr="GOUV_S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3039423" cy="72013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92EDA"/>
    <w:multiLevelType w:val="hybridMultilevel"/>
    <w:tmpl w:val="19845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66FF7"/>
    <w:multiLevelType w:val="hybridMultilevel"/>
    <w:tmpl w:val="629C52A0"/>
    <w:lvl w:ilvl="0" w:tplc="046E0001">
      <w:start w:val="1"/>
      <w:numFmt w:val="bullet"/>
      <w:lvlText w:val=""/>
      <w:lvlJc w:val="left"/>
      <w:pPr>
        <w:ind w:left="720" w:hanging="360"/>
      </w:pPr>
      <w:rPr>
        <w:rFonts w:ascii="Symbol" w:hAnsi="Symbol" w:hint="default"/>
      </w:rPr>
    </w:lvl>
    <w:lvl w:ilvl="1" w:tplc="046E0003" w:tentative="1">
      <w:start w:val="1"/>
      <w:numFmt w:val="bullet"/>
      <w:lvlText w:val="o"/>
      <w:lvlJc w:val="left"/>
      <w:pPr>
        <w:ind w:left="1440" w:hanging="360"/>
      </w:pPr>
      <w:rPr>
        <w:rFonts w:ascii="Courier New" w:hAnsi="Courier New" w:cs="Courier New" w:hint="default"/>
      </w:rPr>
    </w:lvl>
    <w:lvl w:ilvl="2" w:tplc="046E0005" w:tentative="1">
      <w:start w:val="1"/>
      <w:numFmt w:val="bullet"/>
      <w:lvlText w:val=""/>
      <w:lvlJc w:val="left"/>
      <w:pPr>
        <w:ind w:left="2160" w:hanging="360"/>
      </w:pPr>
      <w:rPr>
        <w:rFonts w:ascii="Wingdings" w:hAnsi="Wingdings" w:hint="default"/>
      </w:rPr>
    </w:lvl>
    <w:lvl w:ilvl="3" w:tplc="046E0001" w:tentative="1">
      <w:start w:val="1"/>
      <w:numFmt w:val="bullet"/>
      <w:lvlText w:val=""/>
      <w:lvlJc w:val="left"/>
      <w:pPr>
        <w:ind w:left="2880" w:hanging="360"/>
      </w:pPr>
      <w:rPr>
        <w:rFonts w:ascii="Symbol" w:hAnsi="Symbol" w:hint="default"/>
      </w:rPr>
    </w:lvl>
    <w:lvl w:ilvl="4" w:tplc="046E0003" w:tentative="1">
      <w:start w:val="1"/>
      <w:numFmt w:val="bullet"/>
      <w:lvlText w:val="o"/>
      <w:lvlJc w:val="left"/>
      <w:pPr>
        <w:ind w:left="3600" w:hanging="360"/>
      </w:pPr>
      <w:rPr>
        <w:rFonts w:ascii="Courier New" w:hAnsi="Courier New" w:cs="Courier New" w:hint="default"/>
      </w:rPr>
    </w:lvl>
    <w:lvl w:ilvl="5" w:tplc="046E0005" w:tentative="1">
      <w:start w:val="1"/>
      <w:numFmt w:val="bullet"/>
      <w:lvlText w:val=""/>
      <w:lvlJc w:val="left"/>
      <w:pPr>
        <w:ind w:left="4320" w:hanging="360"/>
      </w:pPr>
      <w:rPr>
        <w:rFonts w:ascii="Wingdings" w:hAnsi="Wingdings" w:hint="default"/>
      </w:rPr>
    </w:lvl>
    <w:lvl w:ilvl="6" w:tplc="046E0001" w:tentative="1">
      <w:start w:val="1"/>
      <w:numFmt w:val="bullet"/>
      <w:lvlText w:val=""/>
      <w:lvlJc w:val="left"/>
      <w:pPr>
        <w:ind w:left="5040" w:hanging="360"/>
      </w:pPr>
      <w:rPr>
        <w:rFonts w:ascii="Symbol" w:hAnsi="Symbol" w:hint="default"/>
      </w:rPr>
    </w:lvl>
    <w:lvl w:ilvl="7" w:tplc="046E0003" w:tentative="1">
      <w:start w:val="1"/>
      <w:numFmt w:val="bullet"/>
      <w:lvlText w:val="o"/>
      <w:lvlJc w:val="left"/>
      <w:pPr>
        <w:ind w:left="5760" w:hanging="360"/>
      </w:pPr>
      <w:rPr>
        <w:rFonts w:ascii="Courier New" w:hAnsi="Courier New" w:cs="Courier New" w:hint="default"/>
      </w:rPr>
    </w:lvl>
    <w:lvl w:ilvl="8" w:tplc="046E0005" w:tentative="1">
      <w:start w:val="1"/>
      <w:numFmt w:val="bullet"/>
      <w:lvlText w:val=""/>
      <w:lvlJc w:val="left"/>
      <w:pPr>
        <w:ind w:left="6480" w:hanging="360"/>
      </w:pPr>
      <w:rPr>
        <w:rFonts w:ascii="Wingdings" w:hAnsi="Wingdings" w:hint="default"/>
      </w:rPr>
    </w:lvl>
  </w:abstractNum>
  <w:abstractNum w:abstractNumId="2" w15:restartNumberingAfterBreak="0">
    <w:nsid w:val="03C7157E"/>
    <w:multiLevelType w:val="hybridMultilevel"/>
    <w:tmpl w:val="7E74AA3A"/>
    <w:lvl w:ilvl="0" w:tplc="046E0001">
      <w:start w:val="1"/>
      <w:numFmt w:val="bullet"/>
      <w:lvlText w:val=""/>
      <w:lvlJc w:val="left"/>
      <w:pPr>
        <w:ind w:left="720" w:hanging="360"/>
      </w:pPr>
      <w:rPr>
        <w:rFonts w:ascii="Symbol" w:hAnsi="Symbol" w:hint="default"/>
      </w:rPr>
    </w:lvl>
    <w:lvl w:ilvl="1" w:tplc="046E0003">
      <w:start w:val="1"/>
      <w:numFmt w:val="bullet"/>
      <w:lvlText w:val="o"/>
      <w:lvlJc w:val="left"/>
      <w:pPr>
        <w:ind w:left="1440" w:hanging="360"/>
      </w:pPr>
      <w:rPr>
        <w:rFonts w:ascii="Courier New" w:hAnsi="Courier New" w:cs="Courier New" w:hint="default"/>
      </w:rPr>
    </w:lvl>
    <w:lvl w:ilvl="2" w:tplc="046E0005" w:tentative="1">
      <w:start w:val="1"/>
      <w:numFmt w:val="bullet"/>
      <w:lvlText w:val=""/>
      <w:lvlJc w:val="left"/>
      <w:pPr>
        <w:ind w:left="2160" w:hanging="360"/>
      </w:pPr>
      <w:rPr>
        <w:rFonts w:ascii="Wingdings" w:hAnsi="Wingdings" w:hint="default"/>
      </w:rPr>
    </w:lvl>
    <w:lvl w:ilvl="3" w:tplc="046E0001" w:tentative="1">
      <w:start w:val="1"/>
      <w:numFmt w:val="bullet"/>
      <w:lvlText w:val=""/>
      <w:lvlJc w:val="left"/>
      <w:pPr>
        <w:ind w:left="2880" w:hanging="360"/>
      </w:pPr>
      <w:rPr>
        <w:rFonts w:ascii="Symbol" w:hAnsi="Symbol" w:hint="default"/>
      </w:rPr>
    </w:lvl>
    <w:lvl w:ilvl="4" w:tplc="046E0003" w:tentative="1">
      <w:start w:val="1"/>
      <w:numFmt w:val="bullet"/>
      <w:lvlText w:val="o"/>
      <w:lvlJc w:val="left"/>
      <w:pPr>
        <w:ind w:left="3600" w:hanging="360"/>
      </w:pPr>
      <w:rPr>
        <w:rFonts w:ascii="Courier New" w:hAnsi="Courier New" w:cs="Courier New" w:hint="default"/>
      </w:rPr>
    </w:lvl>
    <w:lvl w:ilvl="5" w:tplc="046E0005" w:tentative="1">
      <w:start w:val="1"/>
      <w:numFmt w:val="bullet"/>
      <w:lvlText w:val=""/>
      <w:lvlJc w:val="left"/>
      <w:pPr>
        <w:ind w:left="4320" w:hanging="360"/>
      </w:pPr>
      <w:rPr>
        <w:rFonts w:ascii="Wingdings" w:hAnsi="Wingdings" w:hint="default"/>
      </w:rPr>
    </w:lvl>
    <w:lvl w:ilvl="6" w:tplc="046E0001" w:tentative="1">
      <w:start w:val="1"/>
      <w:numFmt w:val="bullet"/>
      <w:lvlText w:val=""/>
      <w:lvlJc w:val="left"/>
      <w:pPr>
        <w:ind w:left="5040" w:hanging="360"/>
      </w:pPr>
      <w:rPr>
        <w:rFonts w:ascii="Symbol" w:hAnsi="Symbol" w:hint="default"/>
      </w:rPr>
    </w:lvl>
    <w:lvl w:ilvl="7" w:tplc="046E0003" w:tentative="1">
      <w:start w:val="1"/>
      <w:numFmt w:val="bullet"/>
      <w:lvlText w:val="o"/>
      <w:lvlJc w:val="left"/>
      <w:pPr>
        <w:ind w:left="5760" w:hanging="360"/>
      </w:pPr>
      <w:rPr>
        <w:rFonts w:ascii="Courier New" w:hAnsi="Courier New" w:cs="Courier New" w:hint="default"/>
      </w:rPr>
    </w:lvl>
    <w:lvl w:ilvl="8" w:tplc="046E0005" w:tentative="1">
      <w:start w:val="1"/>
      <w:numFmt w:val="bullet"/>
      <w:lvlText w:val=""/>
      <w:lvlJc w:val="left"/>
      <w:pPr>
        <w:ind w:left="6480" w:hanging="360"/>
      </w:pPr>
      <w:rPr>
        <w:rFonts w:ascii="Wingdings" w:hAnsi="Wingdings" w:hint="default"/>
      </w:rPr>
    </w:lvl>
  </w:abstractNum>
  <w:abstractNum w:abstractNumId="3" w15:restartNumberingAfterBreak="0">
    <w:nsid w:val="065B0980"/>
    <w:multiLevelType w:val="hybridMultilevel"/>
    <w:tmpl w:val="6F4E5FC8"/>
    <w:lvl w:ilvl="0" w:tplc="046E0001">
      <w:start w:val="1"/>
      <w:numFmt w:val="bullet"/>
      <w:lvlText w:val=""/>
      <w:lvlJc w:val="left"/>
      <w:pPr>
        <w:ind w:left="720" w:hanging="360"/>
      </w:pPr>
      <w:rPr>
        <w:rFonts w:ascii="Symbol" w:hAnsi="Symbol" w:hint="default"/>
      </w:rPr>
    </w:lvl>
    <w:lvl w:ilvl="1" w:tplc="046E0003" w:tentative="1">
      <w:start w:val="1"/>
      <w:numFmt w:val="bullet"/>
      <w:lvlText w:val="o"/>
      <w:lvlJc w:val="left"/>
      <w:pPr>
        <w:ind w:left="1440" w:hanging="360"/>
      </w:pPr>
      <w:rPr>
        <w:rFonts w:ascii="Courier New" w:hAnsi="Courier New" w:cs="Courier New" w:hint="default"/>
      </w:rPr>
    </w:lvl>
    <w:lvl w:ilvl="2" w:tplc="046E0005" w:tentative="1">
      <w:start w:val="1"/>
      <w:numFmt w:val="bullet"/>
      <w:lvlText w:val=""/>
      <w:lvlJc w:val="left"/>
      <w:pPr>
        <w:ind w:left="2160" w:hanging="360"/>
      </w:pPr>
      <w:rPr>
        <w:rFonts w:ascii="Wingdings" w:hAnsi="Wingdings" w:hint="default"/>
      </w:rPr>
    </w:lvl>
    <w:lvl w:ilvl="3" w:tplc="046E0001" w:tentative="1">
      <w:start w:val="1"/>
      <w:numFmt w:val="bullet"/>
      <w:lvlText w:val=""/>
      <w:lvlJc w:val="left"/>
      <w:pPr>
        <w:ind w:left="2880" w:hanging="360"/>
      </w:pPr>
      <w:rPr>
        <w:rFonts w:ascii="Symbol" w:hAnsi="Symbol" w:hint="default"/>
      </w:rPr>
    </w:lvl>
    <w:lvl w:ilvl="4" w:tplc="046E0003" w:tentative="1">
      <w:start w:val="1"/>
      <w:numFmt w:val="bullet"/>
      <w:lvlText w:val="o"/>
      <w:lvlJc w:val="left"/>
      <w:pPr>
        <w:ind w:left="3600" w:hanging="360"/>
      </w:pPr>
      <w:rPr>
        <w:rFonts w:ascii="Courier New" w:hAnsi="Courier New" w:cs="Courier New" w:hint="default"/>
      </w:rPr>
    </w:lvl>
    <w:lvl w:ilvl="5" w:tplc="046E0005" w:tentative="1">
      <w:start w:val="1"/>
      <w:numFmt w:val="bullet"/>
      <w:lvlText w:val=""/>
      <w:lvlJc w:val="left"/>
      <w:pPr>
        <w:ind w:left="4320" w:hanging="360"/>
      </w:pPr>
      <w:rPr>
        <w:rFonts w:ascii="Wingdings" w:hAnsi="Wingdings" w:hint="default"/>
      </w:rPr>
    </w:lvl>
    <w:lvl w:ilvl="6" w:tplc="046E0001" w:tentative="1">
      <w:start w:val="1"/>
      <w:numFmt w:val="bullet"/>
      <w:lvlText w:val=""/>
      <w:lvlJc w:val="left"/>
      <w:pPr>
        <w:ind w:left="5040" w:hanging="360"/>
      </w:pPr>
      <w:rPr>
        <w:rFonts w:ascii="Symbol" w:hAnsi="Symbol" w:hint="default"/>
      </w:rPr>
    </w:lvl>
    <w:lvl w:ilvl="7" w:tplc="046E0003" w:tentative="1">
      <w:start w:val="1"/>
      <w:numFmt w:val="bullet"/>
      <w:lvlText w:val="o"/>
      <w:lvlJc w:val="left"/>
      <w:pPr>
        <w:ind w:left="5760" w:hanging="360"/>
      </w:pPr>
      <w:rPr>
        <w:rFonts w:ascii="Courier New" w:hAnsi="Courier New" w:cs="Courier New" w:hint="default"/>
      </w:rPr>
    </w:lvl>
    <w:lvl w:ilvl="8" w:tplc="046E0005" w:tentative="1">
      <w:start w:val="1"/>
      <w:numFmt w:val="bullet"/>
      <w:lvlText w:val=""/>
      <w:lvlJc w:val="left"/>
      <w:pPr>
        <w:ind w:left="6480" w:hanging="360"/>
      </w:pPr>
      <w:rPr>
        <w:rFonts w:ascii="Wingdings" w:hAnsi="Wingdings" w:hint="default"/>
      </w:rPr>
    </w:lvl>
  </w:abstractNum>
  <w:abstractNum w:abstractNumId="4" w15:restartNumberingAfterBreak="0">
    <w:nsid w:val="0CA430D5"/>
    <w:multiLevelType w:val="hybridMultilevel"/>
    <w:tmpl w:val="965CC73C"/>
    <w:lvl w:ilvl="0" w:tplc="596A9B4E">
      <w:start w:val="1"/>
      <w:numFmt w:val="decimal"/>
      <w:lvlText w:val="Étape %1:"/>
      <w:lvlJc w:val="left"/>
      <w:pPr>
        <w:ind w:left="720" w:hanging="360"/>
      </w:pPr>
      <w:rPr>
        <w:rFonts w:hint="default"/>
      </w:rPr>
    </w:lvl>
    <w:lvl w:ilvl="1" w:tplc="046E0019">
      <w:start w:val="1"/>
      <w:numFmt w:val="lowerLetter"/>
      <w:lvlText w:val="%2."/>
      <w:lvlJc w:val="left"/>
      <w:pPr>
        <w:ind w:left="1440" w:hanging="360"/>
      </w:pPr>
    </w:lvl>
    <w:lvl w:ilvl="2" w:tplc="046E001B" w:tentative="1">
      <w:start w:val="1"/>
      <w:numFmt w:val="lowerRoman"/>
      <w:lvlText w:val="%3."/>
      <w:lvlJc w:val="right"/>
      <w:pPr>
        <w:ind w:left="2160" w:hanging="180"/>
      </w:pPr>
    </w:lvl>
    <w:lvl w:ilvl="3" w:tplc="046E000F" w:tentative="1">
      <w:start w:val="1"/>
      <w:numFmt w:val="decimal"/>
      <w:lvlText w:val="%4."/>
      <w:lvlJc w:val="left"/>
      <w:pPr>
        <w:ind w:left="2880" w:hanging="360"/>
      </w:pPr>
    </w:lvl>
    <w:lvl w:ilvl="4" w:tplc="046E0019" w:tentative="1">
      <w:start w:val="1"/>
      <w:numFmt w:val="lowerLetter"/>
      <w:lvlText w:val="%5."/>
      <w:lvlJc w:val="left"/>
      <w:pPr>
        <w:ind w:left="3600" w:hanging="360"/>
      </w:pPr>
    </w:lvl>
    <w:lvl w:ilvl="5" w:tplc="046E001B" w:tentative="1">
      <w:start w:val="1"/>
      <w:numFmt w:val="lowerRoman"/>
      <w:lvlText w:val="%6."/>
      <w:lvlJc w:val="right"/>
      <w:pPr>
        <w:ind w:left="4320" w:hanging="180"/>
      </w:pPr>
    </w:lvl>
    <w:lvl w:ilvl="6" w:tplc="046E000F" w:tentative="1">
      <w:start w:val="1"/>
      <w:numFmt w:val="decimal"/>
      <w:lvlText w:val="%7."/>
      <w:lvlJc w:val="left"/>
      <w:pPr>
        <w:ind w:left="5040" w:hanging="360"/>
      </w:pPr>
    </w:lvl>
    <w:lvl w:ilvl="7" w:tplc="046E0019" w:tentative="1">
      <w:start w:val="1"/>
      <w:numFmt w:val="lowerLetter"/>
      <w:lvlText w:val="%8."/>
      <w:lvlJc w:val="left"/>
      <w:pPr>
        <w:ind w:left="5760" w:hanging="360"/>
      </w:pPr>
    </w:lvl>
    <w:lvl w:ilvl="8" w:tplc="046E001B" w:tentative="1">
      <w:start w:val="1"/>
      <w:numFmt w:val="lowerRoman"/>
      <w:lvlText w:val="%9."/>
      <w:lvlJc w:val="right"/>
      <w:pPr>
        <w:ind w:left="6480" w:hanging="180"/>
      </w:pPr>
    </w:lvl>
  </w:abstractNum>
  <w:abstractNum w:abstractNumId="5" w15:restartNumberingAfterBreak="0">
    <w:nsid w:val="0CCA4B8E"/>
    <w:multiLevelType w:val="hybridMultilevel"/>
    <w:tmpl w:val="76482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FC4255"/>
    <w:multiLevelType w:val="hybridMultilevel"/>
    <w:tmpl w:val="05BC6A06"/>
    <w:lvl w:ilvl="0" w:tplc="982090B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1E7264"/>
    <w:multiLevelType w:val="hybridMultilevel"/>
    <w:tmpl w:val="6EAC4C46"/>
    <w:lvl w:ilvl="0" w:tplc="046E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EE451B"/>
    <w:multiLevelType w:val="hybridMultilevel"/>
    <w:tmpl w:val="5BA68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013F63"/>
    <w:multiLevelType w:val="hybridMultilevel"/>
    <w:tmpl w:val="FE2A28C4"/>
    <w:lvl w:ilvl="0" w:tplc="368E30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316BD4"/>
    <w:multiLevelType w:val="hybridMultilevel"/>
    <w:tmpl w:val="C8144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8239C4"/>
    <w:multiLevelType w:val="hybridMultilevel"/>
    <w:tmpl w:val="B5728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E34A3B"/>
    <w:multiLevelType w:val="hybridMultilevel"/>
    <w:tmpl w:val="78966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1C4A7A"/>
    <w:multiLevelType w:val="hybridMultilevel"/>
    <w:tmpl w:val="BB0A1F38"/>
    <w:lvl w:ilvl="0" w:tplc="046E0001">
      <w:start w:val="1"/>
      <w:numFmt w:val="bullet"/>
      <w:lvlText w:val=""/>
      <w:lvlJc w:val="left"/>
      <w:pPr>
        <w:ind w:left="720" w:hanging="360"/>
      </w:pPr>
      <w:rPr>
        <w:rFonts w:ascii="Symbol" w:hAnsi="Symbol" w:hint="default"/>
      </w:rPr>
    </w:lvl>
    <w:lvl w:ilvl="1" w:tplc="046E0003" w:tentative="1">
      <w:start w:val="1"/>
      <w:numFmt w:val="bullet"/>
      <w:lvlText w:val="o"/>
      <w:lvlJc w:val="left"/>
      <w:pPr>
        <w:ind w:left="1440" w:hanging="360"/>
      </w:pPr>
      <w:rPr>
        <w:rFonts w:ascii="Courier New" w:hAnsi="Courier New" w:cs="Courier New" w:hint="default"/>
      </w:rPr>
    </w:lvl>
    <w:lvl w:ilvl="2" w:tplc="046E0005" w:tentative="1">
      <w:start w:val="1"/>
      <w:numFmt w:val="bullet"/>
      <w:lvlText w:val=""/>
      <w:lvlJc w:val="left"/>
      <w:pPr>
        <w:ind w:left="2160" w:hanging="360"/>
      </w:pPr>
      <w:rPr>
        <w:rFonts w:ascii="Wingdings" w:hAnsi="Wingdings" w:hint="default"/>
      </w:rPr>
    </w:lvl>
    <w:lvl w:ilvl="3" w:tplc="046E0001" w:tentative="1">
      <w:start w:val="1"/>
      <w:numFmt w:val="bullet"/>
      <w:lvlText w:val=""/>
      <w:lvlJc w:val="left"/>
      <w:pPr>
        <w:ind w:left="2880" w:hanging="360"/>
      </w:pPr>
      <w:rPr>
        <w:rFonts w:ascii="Symbol" w:hAnsi="Symbol" w:hint="default"/>
      </w:rPr>
    </w:lvl>
    <w:lvl w:ilvl="4" w:tplc="046E0003" w:tentative="1">
      <w:start w:val="1"/>
      <w:numFmt w:val="bullet"/>
      <w:lvlText w:val="o"/>
      <w:lvlJc w:val="left"/>
      <w:pPr>
        <w:ind w:left="3600" w:hanging="360"/>
      </w:pPr>
      <w:rPr>
        <w:rFonts w:ascii="Courier New" w:hAnsi="Courier New" w:cs="Courier New" w:hint="default"/>
      </w:rPr>
    </w:lvl>
    <w:lvl w:ilvl="5" w:tplc="046E0005" w:tentative="1">
      <w:start w:val="1"/>
      <w:numFmt w:val="bullet"/>
      <w:lvlText w:val=""/>
      <w:lvlJc w:val="left"/>
      <w:pPr>
        <w:ind w:left="4320" w:hanging="360"/>
      </w:pPr>
      <w:rPr>
        <w:rFonts w:ascii="Wingdings" w:hAnsi="Wingdings" w:hint="default"/>
      </w:rPr>
    </w:lvl>
    <w:lvl w:ilvl="6" w:tplc="046E0001" w:tentative="1">
      <w:start w:val="1"/>
      <w:numFmt w:val="bullet"/>
      <w:lvlText w:val=""/>
      <w:lvlJc w:val="left"/>
      <w:pPr>
        <w:ind w:left="5040" w:hanging="360"/>
      </w:pPr>
      <w:rPr>
        <w:rFonts w:ascii="Symbol" w:hAnsi="Symbol" w:hint="default"/>
      </w:rPr>
    </w:lvl>
    <w:lvl w:ilvl="7" w:tplc="046E0003" w:tentative="1">
      <w:start w:val="1"/>
      <w:numFmt w:val="bullet"/>
      <w:lvlText w:val="o"/>
      <w:lvlJc w:val="left"/>
      <w:pPr>
        <w:ind w:left="5760" w:hanging="360"/>
      </w:pPr>
      <w:rPr>
        <w:rFonts w:ascii="Courier New" w:hAnsi="Courier New" w:cs="Courier New" w:hint="default"/>
      </w:rPr>
    </w:lvl>
    <w:lvl w:ilvl="8" w:tplc="046E0005" w:tentative="1">
      <w:start w:val="1"/>
      <w:numFmt w:val="bullet"/>
      <w:lvlText w:val=""/>
      <w:lvlJc w:val="left"/>
      <w:pPr>
        <w:ind w:left="6480" w:hanging="360"/>
      </w:pPr>
      <w:rPr>
        <w:rFonts w:ascii="Wingdings" w:hAnsi="Wingdings" w:hint="default"/>
      </w:rPr>
    </w:lvl>
  </w:abstractNum>
  <w:abstractNum w:abstractNumId="14" w15:restartNumberingAfterBreak="0">
    <w:nsid w:val="4BCE52DA"/>
    <w:multiLevelType w:val="hybridMultilevel"/>
    <w:tmpl w:val="7840A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304409"/>
    <w:multiLevelType w:val="hybridMultilevel"/>
    <w:tmpl w:val="9F5C3EBE"/>
    <w:lvl w:ilvl="0" w:tplc="046E0001">
      <w:start w:val="1"/>
      <w:numFmt w:val="bullet"/>
      <w:lvlText w:val=""/>
      <w:lvlJc w:val="left"/>
      <w:pPr>
        <w:ind w:left="720" w:hanging="360"/>
      </w:pPr>
      <w:rPr>
        <w:rFonts w:ascii="Symbol" w:hAnsi="Symbol" w:hint="default"/>
      </w:rPr>
    </w:lvl>
    <w:lvl w:ilvl="1" w:tplc="046E0003" w:tentative="1">
      <w:start w:val="1"/>
      <w:numFmt w:val="bullet"/>
      <w:lvlText w:val="o"/>
      <w:lvlJc w:val="left"/>
      <w:pPr>
        <w:ind w:left="1440" w:hanging="360"/>
      </w:pPr>
      <w:rPr>
        <w:rFonts w:ascii="Courier New" w:hAnsi="Courier New" w:cs="Courier New" w:hint="default"/>
      </w:rPr>
    </w:lvl>
    <w:lvl w:ilvl="2" w:tplc="046E0005" w:tentative="1">
      <w:start w:val="1"/>
      <w:numFmt w:val="bullet"/>
      <w:lvlText w:val=""/>
      <w:lvlJc w:val="left"/>
      <w:pPr>
        <w:ind w:left="2160" w:hanging="360"/>
      </w:pPr>
      <w:rPr>
        <w:rFonts w:ascii="Wingdings" w:hAnsi="Wingdings" w:hint="default"/>
      </w:rPr>
    </w:lvl>
    <w:lvl w:ilvl="3" w:tplc="046E0001" w:tentative="1">
      <w:start w:val="1"/>
      <w:numFmt w:val="bullet"/>
      <w:lvlText w:val=""/>
      <w:lvlJc w:val="left"/>
      <w:pPr>
        <w:ind w:left="2880" w:hanging="360"/>
      </w:pPr>
      <w:rPr>
        <w:rFonts w:ascii="Symbol" w:hAnsi="Symbol" w:hint="default"/>
      </w:rPr>
    </w:lvl>
    <w:lvl w:ilvl="4" w:tplc="046E0003" w:tentative="1">
      <w:start w:val="1"/>
      <w:numFmt w:val="bullet"/>
      <w:lvlText w:val="o"/>
      <w:lvlJc w:val="left"/>
      <w:pPr>
        <w:ind w:left="3600" w:hanging="360"/>
      </w:pPr>
      <w:rPr>
        <w:rFonts w:ascii="Courier New" w:hAnsi="Courier New" w:cs="Courier New" w:hint="default"/>
      </w:rPr>
    </w:lvl>
    <w:lvl w:ilvl="5" w:tplc="046E0005" w:tentative="1">
      <w:start w:val="1"/>
      <w:numFmt w:val="bullet"/>
      <w:lvlText w:val=""/>
      <w:lvlJc w:val="left"/>
      <w:pPr>
        <w:ind w:left="4320" w:hanging="360"/>
      </w:pPr>
      <w:rPr>
        <w:rFonts w:ascii="Wingdings" w:hAnsi="Wingdings" w:hint="default"/>
      </w:rPr>
    </w:lvl>
    <w:lvl w:ilvl="6" w:tplc="046E0001" w:tentative="1">
      <w:start w:val="1"/>
      <w:numFmt w:val="bullet"/>
      <w:lvlText w:val=""/>
      <w:lvlJc w:val="left"/>
      <w:pPr>
        <w:ind w:left="5040" w:hanging="360"/>
      </w:pPr>
      <w:rPr>
        <w:rFonts w:ascii="Symbol" w:hAnsi="Symbol" w:hint="default"/>
      </w:rPr>
    </w:lvl>
    <w:lvl w:ilvl="7" w:tplc="046E0003" w:tentative="1">
      <w:start w:val="1"/>
      <w:numFmt w:val="bullet"/>
      <w:lvlText w:val="o"/>
      <w:lvlJc w:val="left"/>
      <w:pPr>
        <w:ind w:left="5760" w:hanging="360"/>
      </w:pPr>
      <w:rPr>
        <w:rFonts w:ascii="Courier New" w:hAnsi="Courier New" w:cs="Courier New" w:hint="default"/>
      </w:rPr>
    </w:lvl>
    <w:lvl w:ilvl="8" w:tplc="046E0005" w:tentative="1">
      <w:start w:val="1"/>
      <w:numFmt w:val="bullet"/>
      <w:lvlText w:val=""/>
      <w:lvlJc w:val="left"/>
      <w:pPr>
        <w:ind w:left="6480" w:hanging="360"/>
      </w:pPr>
      <w:rPr>
        <w:rFonts w:ascii="Wingdings" w:hAnsi="Wingdings" w:hint="default"/>
      </w:rPr>
    </w:lvl>
  </w:abstractNum>
  <w:abstractNum w:abstractNumId="16" w15:restartNumberingAfterBreak="0">
    <w:nsid w:val="4F681278"/>
    <w:multiLevelType w:val="hybridMultilevel"/>
    <w:tmpl w:val="714616DC"/>
    <w:lvl w:ilvl="0" w:tplc="046E0001">
      <w:start w:val="1"/>
      <w:numFmt w:val="bullet"/>
      <w:lvlText w:val=""/>
      <w:lvlJc w:val="left"/>
      <w:pPr>
        <w:ind w:left="720" w:hanging="360"/>
      </w:pPr>
      <w:rPr>
        <w:rFonts w:ascii="Symbol" w:hAnsi="Symbol" w:hint="default"/>
      </w:rPr>
    </w:lvl>
    <w:lvl w:ilvl="1" w:tplc="046E0003" w:tentative="1">
      <w:start w:val="1"/>
      <w:numFmt w:val="bullet"/>
      <w:lvlText w:val="o"/>
      <w:lvlJc w:val="left"/>
      <w:pPr>
        <w:ind w:left="1440" w:hanging="360"/>
      </w:pPr>
      <w:rPr>
        <w:rFonts w:ascii="Courier New" w:hAnsi="Courier New" w:cs="Courier New" w:hint="default"/>
      </w:rPr>
    </w:lvl>
    <w:lvl w:ilvl="2" w:tplc="046E0005" w:tentative="1">
      <w:start w:val="1"/>
      <w:numFmt w:val="bullet"/>
      <w:lvlText w:val=""/>
      <w:lvlJc w:val="left"/>
      <w:pPr>
        <w:ind w:left="2160" w:hanging="360"/>
      </w:pPr>
      <w:rPr>
        <w:rFonts w:ascii="Wingdings" w:hAnsi="Wingdings" w:hint="default"/>
      </w:rPr>
    </w:lvl>
    <w:lvl w:ilvl="3" w:tplc="046E0001" w:tentative="1">
      <w:start w:val="1"/>
      <w:numFmt w:val="bullet"/>
      <w:lvlText w:val=""/>
      <w:lvlJc w:val="left"/>
      <w:pPr>
        <w:ind w:left="2880" w:hanging="360"/>
      </w:pPr>
      <w:rPr>
        <w:rFonts w:ascii="Symbol" w:hAnsi="Symbol" w:hint="default"/>
      </w:rPr>
    </w:lvl>
    <w:lvl w:ilvl="4" w:tplc="046E0003" w:tentative="1">
      <w:start w:val="1"/>
      <w:numFmt w:val="bullet"/>
      <w:lvlText w:val="o"/>
      <w:lvlJc w:val="left"/>
      <w:pPr>
        <w:ind w:left="3600" w:hanging="360"/>
      </w:pPr>
      <w:rPr>
        <w:rFonts w:ascii="Courier New" w:hAnsi="Courier New" w:cs="Courier New" w:hint="default"/>
      </w:rPr>
    </w:lvl>
    <w:lvl w:ilvl="5" w:tplc="046E0005" w:tentative="1">
      <w:start w:val="1"/>
      <w:numFmt w:val="bullet"/>
      <w:lvlText w:val=""/>
      <w:lvlJc w:val="left"/>
      <w:pPr>
        <w:ind w:left="4320" w:hanging="360"/>
      </w:pPr>
      <w:rPr>
        <w:rFonts w:ascii="Wingdings" w:hAnsi="Wingdings" w:hint="default"/>
      </w:rPr>
    </w:lvl>
    <w:lvl w:ilvl="6" w:tplc="046E0001" w:tentative="1">
      <w:start w:val="1"/>
      <w:numFmt w:val="bullet"/>
      <w:lvlText w:val=""/>
      <w:lvlJc w:val="left"/>
      <w:pPr>
        <w:ind w:left="5040" w:hanging="360"/>
      </w:pPr>
      <w:rPr>
        <w:rFonts w:ascii="Symbol" w:hAnsi="Symbol" w:hint="default"/>
      </w:rPr>
    </w:lvl>
    <w:lvl w:ilvl="7" w:tplc="046E0003" w:tentative="1">
      <w:start w:val="1"/>
      <w:numFmt w:val="bullet"/>
      <w:lvlText w:val="o"/>
      <w:lvlJc w:val="left"/>
      <w:pPr>
        <w:ind w:left="5760" w:hanging="360"/>
      </w:pPr>
      <w:rPr>
        <w:rFonts w:ascii="Courier New" w:hAnsi="Courier New" w:cs="Courier New" w:hint="default"/>
      </w:rPr>
    </w:lvl>
    <w:lvl w:ilvl="8" w:tplc="046E0005" w:tentative="1">
      <w:start w:val="1"/>
      <w:numFmt w:val="bullet"/>
      <w:lvlText w:val=""/>
      <w:lvlJc w:val="left"/>
      <w:pPr>
        <w:ind w:left="6480" w:hanging="360"/>
      </w:pPr>
      <w:rPr>
        <w:rFonts w:ascii="Wingdings" w:hAnsi="Wingdings" w:hint="default"/>
      </w:rPr>
    </w:lvl>
  </w:abstractNum>
  <w:abstractNum w:abstractNumId="17" w15:restartNumberingAfterBreak="0">
    <w:nsid w:val="544B01BB"/>
    <w:multiLevelType w:val="hybridMultilevel"/>
    <w:tmpl w:val="7238413E"/>
    <w:lvl w:ilvl="0" w:tplc="3F40026E">
      <w:start w:val="100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6D64FF"/>
    <w:multiLevelType w:val="hybridMultilevel"/>
    <w:tmpl w:val="B0B6C9DE"/>
    <w:lvl w:ilvl="0" w:tplc="046E0001">
      <w:start w:val="1"/>
      <w:numFmt w:val="bullet"/>
      <w:lvlText w:val=""/>
      <w:lvlJc w:val="left"/>
      <w:pPr>
        <w:ind w:left="720" w:hanging="360"/>
      </w:pPr>
      <w:rPr>
        <w:rFonts w:ascii="Symbol" w:hAnsi="Symbol" w:hint="default"/>
      </w:rPr>
    </w:lvl>
    <w:lvl w:ilvl="1" w:tplc="046E0003" w:tentative="1">
      <w:start w:val="1"/>
      <w:numFmt w:val="bullet"/>
      <w:lvlText w:val="o"/>
      <w:lvlJc w:val="left"/>
      <w:pPr>
        <w:ind w:left="1440" w:hanging="360"/>
      </w:pPr>
      <w:rPr>
        <w:rFonts w:ascii="Courier New" w:hAnsi="Courier New" w:cs="Courier New" w:hint="default"/>
      </w:rPr>
    </w:lvl>
    <w:lvl w:ilvl="2" w:tplc="046E0005" w:tentative="1">
      <w:start w:val="1"/>
      <w:numFmt w:val="bullet"/>
      <w:lvlText w:val=""/>
      <w:lvlJc w:val="left"/>
      <w:pPr>
        <w:ind w:left="2160" w:hanging="360"/>
      </w:pPr>
      <w:rPr>
        <w:rFonts w:ascii="Wingdings" w:hAnsi="Wingdings" w:hint="default"/>
      </w:rPr>
    </w:lvl>
    <w:lvl w:ilvl="3" w:tplc="046E0001" w:tentative="1">
      <w:start w:val="1"/>
      <w:numFmt w:val="bullet"/>
      <w:lvlText w:val=""/>
      <w:lvlJc w:val="left"/>
      <w:pPr>
        <w:ind w:left="2880" w:hanging="360"/>
      </w:pPr>
      <w:rPr>
        <w:rFonts w:ascii="Symbol" w:hAnsi="Symbol" w:hint="default"/>
      </w:rPr>
    </w:lvl>
    <w:lvl w:ilvl="4" w:tplc="046E0003" w:tentative="1">
      <w:start w:val="1"/>
      <w:numFmt w:val="bullet"/>
      <w:lvlText w:val="o"/>
      <w:lvlJc w:val="left"/>
      <w:pPr>
        <w:ind w:left="3600" w:hanging="360"/>
      </w:pPr>
      <w:rPr>
        <w:rFonts w:ascii="Courier New" w:hAnsi="Courier New" w:cs="Courier New" w:hint="default"/>
      </w:rPr>
    </w:lvl>
    <w:lvl w:ilvl="5" w:tplc="046E0005" w:tentative="1">
      <w:start w:val="1"/>
      <w:numFmt w:val="bullet"/>
      <w:lvlText w:val=""/>
      <w:lvlJc w:val="left"/>
      <w:pPr>
        <w:ind w:left="4320" w:hanging="360"/>
      </w:pPr>
      <w:rPr>
        <w:rFonts w:ascii="Wingdings" w:hAnsi="Wingdings" w:hint="default"/>
      </w:rPr>
    </w:lvl>
    <w:lvl w:ilvl="6" w:tplc="046E0001" w:tentative="1">
      <w:start w:val="1"/>
      <w:numFmt w:val="bullet"/>
      <w:lvlText w:val=""/>
      <w:lvlJc w:val="left"/>
      <w:pPr>
        <w:ind w:left="5040" w:hanging="360"/>
      </w:pPr>
      <w:rPr>
        <w:rFonts w:ascii="Symbol" w:hAnsi="Symbol" w:hint="default"/>
      </w:rPr>
    </w:lvl>
    <w:lvl w:ilvl="7" w:tplc="046E0003" w:tentative="1">
      <w:start w:val="1"/>
      <w:numFmt w:val="bullet"/>
      <w:lvlText w:val="o"/>
      <w:lvlJc w:val="left"/>
      <w:pPr>
        <w:ind w:left="5760" w:hanging="360"/>
      </w:pPr>
      <w:rPr>
        <w:rFonts w:ascii="Courier New" w:hAnsi="Courier New" w:cs="Courier New" w:hint="default"/>
      </w:rPr>
    </w:lvl>
    <w:lvl w:ilvl="8" w:tplc="046E0005" w:tentative="1">
      <w:start w:val="1"/>
      <w:numFmt w:val="bullet"/>
      <w:lvlText w:val=""/>
      <w:lvlJc w:val="left"/>
      <w:pPr>
        <w:ind w:left="6480" w:hanging="360"/>
      </w:pPr>
      <w:rPr>
        <w:rFonts w:ascii="Wingdings" w:hAnsi="Wingdings" w:hint="default"/>
      </w:rPr>
    </w:lvl>
  </w:abstractNum>
  <w:abstractNum w:abstractNumId="19" w15:restartNumberingAfterBreak="0">
    <w:nsid w:val="5AA3739B"/>
    <w:multiLevelType w:val="hybridMultilevel"/>
    <w:tmpl w:val="4CEC8198"/>
    <w:lvl w:ilvl="0" w:tplc="046E000F">
      <w:start w:val="1"/>
      <w:numFmt w:val="decimal"/>
      <w:lvlText w:val="%1."/>
      <w:lvlJc w:val="left"/>
      <w:pPr>
        <w:ind w:left="720" w:hanging="360"/>
      </w:pPr>
      <w:rPr>
        <w:rFonts w:hint="default"/>
      </w:rPr>
    </w:lvl>
    <w:lvl w:ilvl="1" w:tplc="046E0019" w:tentative="1">
      <w:start w:val="1"/>
      <w:numFmt w:val="lowerLetter"/>
      <w:lvlText w:val="%2."/>
      <w:lvlJc w:val="left"/>
      <w:pPr>
        <w:ind w:left="1440" w:hanging="360"/>
      </w:pPr>
    </w:lvl>
    <w:lvl w:ilvl="2" w:tplc="046E001B" w:tentative="1">
      <w:start w:val="1"/>
      <w:numFmt w:val="lowerRoman"/>
      <w:lvlText w:val="%3."/>
      <w:lvlJc w:val="right"/>
      <w:pPr>
        <w:ind w:left="2160" w:hanging="180"/>
      </w:pPr>
    </w:lvl>
    <w:lvl w:ilvl="3" w:tplc="046E000F" w:tentative="1">
      <w:start w:val="1"/>
      <w:numFmt w:val="decimal"/>
      <w:lvlText w:val="%4."/>
      <w:lvlJc w:val="left"/>
      <w:pPr>
        <w:ind w:left="2880" w:hanging="360"/>
      </w:pPr>
    </w:lvl>
    <w:lvl w:ilvl="4" w:tplc="046E0019" w:tentative="1">
      <w:start w:val="1"/>
      <w:numFmt w:val="lowerLetter"/>
      <w:lvlText w:val="%5."/>
      <w:lvlJc w:val="left"/>
      <w:pPr>
        <w:ind w:left="3600" w:hanging="360"/>
      </w:pPr>
    </w:lvl>
    <w:lvl w:ilvl="5" w:tplc="046E001B" w:tentative="1">
      <w:start w:val="1"/>
      <w:numFmt w:val="lowerRoman"/>
      <w:lvlText w:val="%6."/>
      <w:lvlJc w:val="right"/>
      <w:pPr>
        <w:ind w:left="4320" w:hanging="180"/>
      </w:pPr>
    </w:lvl>
    <w:lvl w:ilvl="6" w:tplc="046E000F" w:tentative="1">
      <w:start w:val="1"/>
      <w:numFmt w:val="decimal"/>
      <w:lvlText w:val="%7."/>
      <w:lvlJc w:val="left"/>
      <w:pPr>
        <w:ind w:left="5040" w:hanging="360"/>
      </w:pPr>
    </w:lvl>
    <w:lvl w:ilvl="7" w:tplc="046E0019" w:tentative="1">
      <w:start w:val="1"/>
      <w:numFmt w:val="lowerLetter"/>
      <w:lvlText w:val="%8."/>
      <w:lvlJc w:val="left"/>
      <w:pPr>
        <w:ind w:left="5760" w:hanging="360"/>
      </w:pPr>
    </w:lvl>
    <w:lvl w:ilvl="8" w:tplc="046E001B" w:tentative="1">
      <w:start w:val="1"/>
      <w:numFmt w:val="lowerRoman"/>
      <w:lvlText w:val="%9."/>
      <w:lvlJc w:val="right"/>
      <w:pPr>
        <w:ind w:left="6480" w:hanging="180"/>
      </w:pPr>
    </w:lvl>
  </w:abstractNum>
  <w:abstractNum w:abstractNumId="20" w15:restartNumberingAfterBreak="0">
    <w:nsid w:val="60C40F1A"/>
    <w:multiLevelType w:val="hybridMultilevel"/>
    <w:tmpl w:val="006C8F8A"/>
    <w:lvl w:ilvl="0" w:tplc="368E30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0E3194"/>
    <w:multiLevelType w:val="hybridMultilevel"/>
    <w:tmpl w:val="54049FE4"/>
    <w:lvl w:ilvl="0" w:tplc="046E0001">
      <w:start w:val="1"/>
      <w:numFmt w:val="bullet"/>
      <w:lvlText w:val=""/>
      <w:lvlJc w:val="left"/>
      <w:pPr>
        <w:ind w:left="720" w:hanging="360"/>
      </w:pPr>
      <w:rPr>
        <w:rFonts w:ascii="Symbol" w:hAnsi="Symbol" w:hint="default"/>
      </w:rPr>
    </w:lvl>
    <w:lvl w:ilvl="1" w:tplc="046E0003" w:tentative="1">
      <w:start w:val="1"/>
      <w:numFmt w:val="bullet"/>
      <w:lvlText w:val="o"/>
      <w:lvlJc w:val="left"/>
      <w:pPr>
        <w:ind w:left="1440" w:hanging="360"/>
      </w:pPr>
      <w:rPr>
        <w:rFonts w:ascii="Courier New" w:hAnsi="Courier New" w:cs="Courier New" w:hint="default"/>
      </w:rPr>
    </w:lvl>
    <w:lvl w:ilvl="2" w:tplc="046E0005" w:tentative="1">
      <w:start w:val="1"/>
      <w:numFmt w:val="bullet"/>
      <w:lvlText w:val=""/>
      <w:lvlJc w:val="left"/>
      <w:pPr>
        <w:ind w:left="2160" w:hanging="360"/>
      </w:pPr>
      <w:rPr>
        <w:rFonts w:ascii="Wingdings" w:hAnsi="Wingdings" w:hint="default"/>
      </w:rPr>
    </w:lvl>
    <w:lvl w:ilvl="3" w:tplc="046E0001" w:tentative="1">
      <w:start w:val="1"/>
      <w:numFmt w:val="bullet"/>
      <w:lvlText w:val=""/>
      <w:lvlJc w:val="left"/>
      <w:pPr>
        <w:ind w:left="2880" w:hanging="360"/>
      </w:pPr>
      <w:rPr>
        <w:rFonts w:ascii="Symbol" w:hAnsi="Symbol" w:hint="default"/>
      </w:rPr>
    </w:lvl>
    <w:lvl w:ilvl="4" w:tplc="046E0003" w:tentative="1">
      <w:start w:val="1"/>
      <w:numFmt w:val="bullet"/>
      <w:lvlText w:val="o"/>
      <w:lvlJc w:val="left"/>
      <w:pPr>
        <w:ind w:left="3600" w:hanging="360"/>
      </w:pPr>
      <w:rPr>
        <w:rFonts w:ascii="Courier New" w:hAnsi="Courier New" w:cs="Courier New" w:hint="default"/>
      </w:rPr>
    </w:lvl>
    <w:lvl w:ilvl="5" w:tplc="046E0005" w:tentative="1">
      <w:start w:val="1"/>
      <w:numFmt w:val="bullet"/>
      <w:lvlText w:val=""/>
      <w:lvlJc w:val="left"/>
      <w:pPr>
        <w:ind w:left="4320" w:hanging="360"/>
      </w:pPr>
      <w:rPr>
        <w:rFonts w:ascii="Wingdings" w:hAnsi="Wingdings" w:hint="default"/>
      </w:rPr>
    </w:lvl>
    <w:lvl w:ilvl="6" w:tplc="046E0001" w:tentative="1">
      <w:start w:val="1"/>
      <w:numFmt w:val="bullet"/>
      <w:lvlText w:val=""/>
      <w:lvlJc w:val="left"/>
      <w:pPr>
        <w:ind w:left="5040" w:hanging="360"/>
      </w:pPr>
      <w:rPr>
        <w:rFonts w:ascii="Symbol" w:hAnsi="Symbol" w:hint="default"/>
      </w:rPr>
    </w:lvl>
    <w:lvl w:ilvl="7" w:tplc="046E0003" w:tentative="1">
      <w:start w:val="1"/>
      <w:numFmt w:val="bullet"/>
      <w:lvlText w:val="o"/>
      <w:lvlJc w:val="left"/>
      <w:pPr>
        <w:ind w:left="5760" w:hanging="360"/>
      </w:pPr>
      <w:rPr>
        <w:rFonts w:ascii="Courier New" w:hAnsi="Courier New" w:cs="Courier New" w:hint="default"/>
      </w:rPr>
    </w:lvl>
    <w:lvl w:ilvl="8" w:tplc="046E0005" w:tentative="1">
      <w:start w:val="1"/>
      <w:numFmt w:val="bullet"/>
      <w:lvlText w:val=""/>
      <w:lvlJc w:val="left"/>
      <w:pPr>
        <w:ind w:left="6480" w:hanging="360"/>
      </w:pPr>
      <w:rPr>
        <w:rFonts w:ascii="Wingdings" w:hAnsi="Wingdings" w:hint="default"/>
      </w:rPr>
    </w:lvl>
  </w:abstractNum>
  <w:abstractNum w:abstractNumId="22" w15:restartNumberingAfterBreak="0">
    <w:nsid w:val="647F3937"/>
    <w:multiLevelType w:val="hybridMultilevel"/>
    <w:tmpl w:val="49DE4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C121EE"/>
    <w:multiLevelType w:val="hybridMultilevel"/>
    <w:tmpl w:val="D1A2DA5E"/>
    <w:lvl w:ilvl="0" w:tplc="D0C0CEF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1A1A32"/>
    <w:multiLevelType w:val="hybridMultilevel"/>
    <w:tmpl w:val="658AD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7F4819"/>
    <w:multiLevelType w:val="hybridMultilevel"/>
    <w:tmpl w:val="3AC87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F5569C"/>
    <w:multiLevelType w:val="multilevel"/>
    <w:tmpl w:val="F34AE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111222"/>
    <w:multiLevelType w:val="hybridMultilevel"/>
    <w:tmpl w:val="BA223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5705D7"/>
    <w:multiLevelType w:val="hybridMultilevel"/>
    <w:tmpl w:val="69B49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E5256C"/>
    <w:multiLevelType w:val="hybridMultilevel"/>
    <w:tmpl w:val="B128D9AC"/>
    <w:lvl w:ilvl="0" w:tplc="162048F8">
      <w:start w:val="1"/>
      <w:numFmt w:val="bullet"/>
      <w:lvlText w:val=""/>
      <w:lvlJc w:val="left"/>
      <w:pPr>
        <w:tabs>
          <w:tab w:val="num" w:pos="720"/>
        </w:tabs>
        <w:ind w:left="720" w:hanging="360"/>
      </w:pPr>
      <w:rPr>
        <w:rFonts w:ascii="Wingdings" w:hAnsi="Wingdings" w:hint="default"/>
      </w:rPr>
    </w:lvl>
    <w:lvl w:ilvl="1" w:tplc="D966BA2E" w:tentative="1">
      <w:start w:val="1"/>
      <w:numFmt w:val="bullet"/>
      <w:lvlText w:val=""/>
      <w:lvlJc w:val="left"/>
      <w:pPr>
        <w:tabs>
          <w:tab w:val="num" w:pos="1440"/>
        </w:tabs>
        <w:ind w:left="1440" w:hanging="360"/>
      </w:pPr>
      <w:rPr>
        <w:rFonts w:ascii="Wingdings" w:hAnsi="Wingdings" w:hint="default"/>
      </w:rPr>
    </w:lvl>
    <w:lvl w:ilvl="2" w:tplc="2F089B88" w:tentative="1">
      <w:start w:val="1"/>
      <w:numFmt w:val="bullet"/>
      <w:lvlText w:val=""/>
      <w:lvlJc w:val="left"/>
      <w:pPr>
        <w:tabs>
          <w:tab w:val="num" w:pos="2160"/>
        </w:tabs>
        <w:ind w:left="2160" w:hanging="360"/>
      </w:pPr>
      <w:rPr>
        <w:rFonts w:ascii="Wingdings" w:hAnsi="Wingdings" w:hint="default"/>
      </w:rPr>
    </w:lvl>
    <w:lvl w:ilvl="3" w:tplc="3446EBB4" w:tentative="1">
      <w:start w:val="1"/>
      <w:numFmt w:val="bullet"/>
      <w:lvlText w:val=""/>
      <w:lvlJc w:val="left"/>
      <w:pPr>
        <w:tabs>
          <w:tab w:val="num" w:pos="2880"/>
        </w:tabs>
        <w:ind w:left="2880" w:hanging="360"/>
      </w:pPr>
      <w:rPr>
        <w:rFonts w:ascii="Wingdings" w:hAnsi="Wingdings" w:hint="default"/>
      </w:rPr>
    </w:lvl>
    <w:lvl w:ilvl="4" w:tplc="212ABCDE" w:tentative="1">
      <w:start w:val="1"/>
      <w:numFmt w:val="bullet"/>
      <w:lvlText w:val=""/>
      <w:lvlJc w:val="left"/>
      <w:pPr>
        <w:tabs>
          <w:tab w:val="num" w:pos="3600"/>
        </w:tabs>
        <w:ind w:left="3600" w:hanging="360"/>
      </w:pPr>
      <w:rPr>
        <w:rFonts w:ascii="Wingdings" w:hAnsi="Wingdings" w:hint="default"/>
      </w:rPr>
    </w:lvl>
    <w:lvl w:ilvl="5" w:tplc="09902FBC" w:tentative="1">
      <w:start w:val="1"/>
      <w:numFmt w:val="bullet"/>
      <w:lvlText w:val=""/>
      <w:lvlJc w:val="left"/>
      <w:pPr>
        <w:tabs>
          <w:tab w:val="num" w:pos="4320"/>
        </w:tabs>
        <w:ind w:left="4320" w:hanging="360"/>
      </w:pPr>
      <w:rPr>
        <w:rFonts w:ascii="Wingdings" w:hAnsi="Wingdings" w:hint="default"/>
      </w:rPr>
    </w:lvl>
    <w:lvl w:ilvl="6" w:tplc="B2AC1CDE" w:tentative="1">
      <w:start w:val="1"/>
      <w:numFmt w:val="bullet"/>
      <w:lvlText w:val=""/>
      <w:lvlJc w:val="left"/>
      <w:pPr>
        <w:tabs>
          <w:tab w:val="num" w:pos="5040"/>
        </w:tabs>
        <w:ind w:left="5040" w:hanging="360"/>
      </w:pPr>
      <w:rPr>
        <w:rFonts w:ascii="Wingdings" w:hAnsi="Wingdings" w:hint="default"/>
      </w:rPr>
    </w:lvl>
    <w:lvl w:ilvl="7" w:tplc="C1461930" w:tentative="1">
      <w:start w:val="1"/>
      <w:numFmt w:val="bullet"/>
      <w:lvlText w:val=""/>
      <w:lvlJc w:val="left"/>
      <w:pPr>
        <w:tabs>
          <w:tab w:val="num" w:pos="5760"/>
        </w:tabs>
        <w:ind w:left="5760" w:hanging="360"/>
      </w:pPr>
      <w:rPr>
        <w:rFonts w:ascii="Wingdings" w:hAnsi="Wingdings" w:hint="default"/>
      </w:rPr>
    </w:lvl>
    <w:lvl w:ilvl="8" w:tplc="97541AFA"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7D449C"/>
    <w:multiLevelType w:val="hybridMultilevel"/>
    <w:tmpl w:val="1DB8758C"/>
    <w:lvl w:ilvl="0" w:tplc="046E0001">
      <w:start w:val="1"/>
      <w:numFmt w:val="bullet"/>
      <w:lvlText w:val=""/>
      <w:lvlJc w:val="left"/>
      <w:pPr>
        <w:ind w:left="720" w:hanging="360"/>
      </w:pPr>
      <w:rPr>
        <w:rFonts w:ascii="Symbol" w:hAnsi="Symbol" w:hint="default"/>
      </w:rPr>
    </w:lvl>
    <w:lvl w:ilvl="1" w:tplc="046E0003">
      <w:start w:val="1"/>
      <w:numFmt w:val="bullet"/>
      <w:lvlText w:val="o"/>
      <w:lvlJc w:val="left"/>
      <w:pPr>
        <w:ind w:left="1440" w:hanging="360"/>
      </w:pPr>
      <w:rPr>
        <w:rFonts w:ascii="Courier New" w:hAnsi="Courier New" w:cs="Courier New" w:hint="default"/>
      </w:rPr>
    </w:lvl>
    <w:lvl w:ilvl="2" w:tplc="046E0005" w:tentative="1">
      <w:start w:val="1"/>
      <w:numFmt w:val="bullet"/>
      <w:lvlText w:val=""/>
      <w:lvlJc w:val="left"/>
      <w:pPr>
        <w:ind w:left="2160" w:hanging="360"/>
      </w:pPr>
      <w:rPr>
        <w:rFonts w:ascii="Wingdings" w:hAnsi="Wingdings" w:hint="default"/>
      </w:rPr>
    </w:lvl>
    <w:lvl w:ilvl="3" w:tplc="046E0001" w:tentative="1">
      <w:start w:val="1"/>
      <w:numFmt w:val="bullet"/>
      <w:lvlText w:val=""/>
      <w:lvlJc w:val="left"/>
      <w:pPr>
        <w:ind w:left="2880" w:hanging="360"/>
      </w:pPr>
      <w:rPr>
        <w:rFonts w:ascii="Symbol" w:hAnsi="Symbol" w:hint="default"/>
      </w:rPr>
    </w:lvl>
    <w:lvl w:ilvl="4" w:tplc="046E0003" w:tentative="1">
      <w:start w:val="1"/>
      <w:numFmt w:val="bullet"/>
      <w:lvlText w:val="o"/>
      <w:lvlJc w:val="left"/>
      <w:pPr>
        <w:ind w:left="3600" w:hanging="360"/>
      </w:pPr>
      <w:rPr>
        <w:rFonts w:ascii="Courier New" w:hAnsi="Courier New" w:cs="Courier New" w:hint="default"/>
      </w:rPr>
    </w:lvl>
    <w:lvl w:ilvl="5" w:tplc="046E0005" w:tentative="1">
      <w:start w:val="1"/>
      <w:numFmt w:val="bullet"/>
      <w:lvlText w:val=""/>
      <w:lvlJc w:val="left"/>
      <w:pPr>
        <w:ind w:left="4320" w:hanging="360"/>
      </w:pPr>
      <w:rPr>
        <w:rFonts w:ascii="Wingdings" w:hAnsi="Wingdings" w:hint="default"/>
      </w:rPr>
    </w:lvl>
    <w:lvl w:ilvl="6" w:tplc="046E0001" w:tentative="1">
      <w:start w:val="1"/>
      <w:numFmt w:val="bullet"/>
      <w:lvlText w:val=""/>
      <w:lvlJc w:val="left"/>
      <w:pPr>
        <w:ind w:left="5040" w:hanging="360"/>
      </w:pPr>
      <w:rPr>
        <w:rFonts w:ascii="Symbol" w:hAnsi="Symbol" w:hint="default"/>
      </w:rPr>
    </w:lvl>
    <w:lvl w:ilvl="7" w:tplc="046E0003" w:tentative="1">
      <w:start w:val="1"/>
      <w:numFmt w:val="bullet"/>
      <w:lvlText w:val="o"/>
      <w:lvlJc w:val="left"/>
      <w:pPr>
        <w:ind w:left="5760" w:hanging="360"/>
      </w:pPr>
      <w:rPr>
        <w:rFonts w:ascii="Courier New" w:hAnsi="Courier New" w:cs="Courier New" w:hint="default"/>
      </w:rPr>
    </w:lvl>
    <w:lvl w:ilvl="8" w:tplc="046E0005" w:tentative="1">
      <w:start w:val="1"/>
      <w:numFmt w:val="bullet"/>
      <w:lvlText w:val=""/>
      <w:lvlJc w:val="left"/>
      <w:pPr>
        <w:ind w:left="6480" w:hanging="360"/>
      </w:pPr>
      <w:rPr>
        <w:rFonts w:ascii="Wingdings" w:hAnsi="Wingdings" w:hint="default"/>
      </w:rPr>
    </w:lvl>
  </w:abstractNum>
  <w:abstractNum w:abstractNumId="31" w15:restartNumberingAfterBreak="0">
    <w:nsid w:val="7E1A7AA3"/>
    <w:multiLevelType w:val="hybridMultilevel"/>
    <w:tmpl w:val="410CBB96"/>
    <w:lvl w:ilvl="0" w:tplc="046E0001">
      <w:start w:val="1"/>
      <w:numFmt w:val="bullet"/>
      <w:lvlText w:val=""/>
      <w:lvlJc w:val="left"/>
      <w:pPr>
        <w:ind w:left="720" w:hanging="360"/>
      </w:pPr>
      <w:rPr>
        <w:rFonts w:ascii="Symbol" w:hAnsi="Symbol" w:hint="default"/>
      </w:rPr>
    </w:lvl>
    <w:lvl w:ilvl="1" w:tplc="046E0003" w:tentative="1">
      <w:start w:val="1"/>
      <w:numFmt w:val="bullet"/>
      <w:lvlText w:val="o"/>
      <w:lvlJc w:val="left"/>
      <w:pPr>
        <w:ind w:left="1440" w:hanging="360"/>
      </w:pPr>
      <w:rPr>
        <w:rFonts w:ascii="Courier New" w:hAnsi="Courier New" w:cs="Courier New" w:hint="default"/>
      </w:rPr>
    </w:lvl>
    <w:lvl w:ilvl="2" w:tplc="046E0005" w:tentative="1">
      <w:start w:val="1"/>
      <w:numFmt w:val="bullet"/>
      <w:lvlText w:val=""/>
      <w:lvlJc w:val="left"/>
      <w:pPr>
        <w:ind w:left="2160" w:hanging="360"/>
      </w:pPr>
      <w:rPr>
        <w:rFonts w:ascii="Wingdings" w:hAnsi="Wingdings" w:hint="default"/>
      </w:rPr>
    </w:lvl>
    <w:lvl w:ilvl="3" w:tplc="046E0001" w:tentative="1">
      <w:start w:val="1"/>
      <w:numFmt w:val="bullet"/>
      <w:lvlText w:val=""/>
      <w:lvlJc w:val="left"/>
      <w:pPr>
        <w:ind w:left="2880" w:hanging="360"/>
      </w:pPr>
      <w:rPr>
        <w:rFonts w:ascii="Symbol" w:hAnsi="Symbol" w:hint="default"/>
      </w:rPr>
    </w:lvl>
    <w:lvl w:ilvl="4" w:tplc="046E0003" w:tentative="1">
      <w:start w:val="1"/>
      <w:numFmt w:val="bullet"/>
      <w:lvlText w:val="o"/>
      <w:lvlJc w:val="left"/>
      <w:pPr>
        <w:ind w:left="3600" w:hanging="360"/>
      </w:pPr>
      <w:rPr>
        <w:rFonts w:ascii="Courier New" w:hAnsi="Courier New" w:cs="Courier New" w:hint="default"/>
      </w:rPr>
    </w:lvl>
    <w:lvl w:ilvl="5" w:tplc="046E0005" w:tentative="1">
      <w:start w:val="1"/>
      <w:numFmt w:val="bullet"/>
      <w:lvlText w:val=""/>
      <w:lvlJc w:val="left"/>
      <w:pPr>
        <w:ind w:left="4320" w:hanging="360"/>
      </w:pPr>
      <w:rPr>
        <w:rFonts w:ascii="Wingdings" w:hAnsi="Wingdings" w:hint="default"/>
      </w:rPr>
    </w:lvl>
    <w:lvl w:ilvl="6" w:tplc="046E0001" w:tentative="1">
      <w:start w:val="1"/>
      <w:numFmt w:val="bullet"/>
      <w:lvlText w:val=""/>
      <w:lvlJc w:val="left"/>
      <w:pPr>
        <w:ind w:left="5040" w:hanging="360"/>
      </w:pPr>
      <w:rPr>
        <w:rFonts w:ascii="Symbol" w:hAnsi="Symbol" w:hint="default"/>
      </w:rPr>
    </w:lvl>
    <w:lvl w:ilvl="7" w:tplc="046E0003" w:tentative="1">
      <w:start w:val="1"/>
      <w:numFmt w:val="bullet"/>
      <w:lvlText w:val="o"/>
      <w:lvlJc w:val="left"/>
      <w:pPr>
        <w:ind w:left="5760" w:hanging="360"/>
      </w:pPr>
      <w:rPr>
        <w:rFonts w:ascii="Courier New" w:hAnsi="Courier New" w:cs="Courier New" w:hint="default"/>
      </w:rPr>
    </w:lvl>
    <w:lvl w:ilvl="8" w:tplc="046E0005" w:tentative="1">
      <w:start w:val="1"/>
      <w:numFmt w:val="bullet"/>
      <w:lvlText w:val=""/>
      <w:lvlJc w:val="left"/>
      <w:pPr>
        <w:ind w:left="6480" w:hanging="360"/>
      </w:pPr>
      <w:rPr>
        <w:rFonts w:ascii="Wingdings" w:hAnsi="Wingdings" w:hint="default"/>
      </w:rPr>
    </w:lvl>
  </w:abstractNum>
  <w:num w:numId="1" w16cid:durableId="1835878548">
    <w:abstractNumId w:val="13"/>
  </w:num>
  <w:num w:numId="2" w16cid:durableId="1949044302">
    <w:abstractNumId w:val="31"/>
  </w:num>
  <w:num w:numId="3" w16cid:durableId="1036269893">
    <w:abstractNumId w:val="18"/>
  </w:num>
  <w:num w:numId="4" w16cid:durableId="186990025">
    <w:abstractNumId w:val="30"/>
  </w:num>
  <w:num w:numId="5" w16cid:durableId="1719548358">
    <w:abstractNumId w:val="16"/>
  </w:num>
  <w:num w:numId="6" w16cid:durableId="1009065953">
    <w:abstractNumId w:val="21"/>
  </w:num>
  <w:num w:numId="7" w16cid:durableId="1567758892">
    <w:abstractNumId w:val="29"/>
  </w:num>
  <w:num w:numId="8" w16cid:durableId="368261410">
    <w:abstractNumId w:val="17"/>
  </w:num>
  <w:num w:numId="9" w16cid:durableId="1285579322">
    <w:abstractNumId w:val="1"/>
  </w:num>
  <w:num w:numId="10" w16cid:durableId="871651178">
    <w:abstractNumId w:val="2"/>
  </w:num>
  <w:num w:numId="11" w16cid:durableId="401374525">
    <w:abstractNumId w:val="19"/>
  </w:num>
  <w:num w:numId="12" w16cid:durableId="1438410659">
    <w:abstractNumId w:val="15"/>
  </w:num>
  <w:num w:numId="13" w16cid:durableId="941500314">
    <w:abstractNumId w:val="3"/>
  </w:num>
  <w:num w:numId="14" w16cid:durableId="365521508">
    <w:abstractNumId w:val="4"/>
  </w:num>
  <w:num w:numId="15" w16cid:durableId="2068331209">
    <w:abstractNumId w:val="27"/>
  </w:num>
  <w:num w:numId="16" w16cid:durableId="229115876">
    <w:abstractNumId w:val="24"/>
  </w:num>
  <w:num w:numId="17" w16cid:durableId="1029338856">
    <w:abstractNumId w:val="28"/>
  </w:num>
  <w:num w:numId="18" w16cid:durableId="1496415567">
    <w:abstractNumId w:val="8"/>
  </w:num>
  <w:num w:numId="19" w16cid:durableId="1216701448">
    <w:abstractNumId w:val="20"/>
  </w:num>
  <w:num w:numId="20" w16cid:durableId="618686393">
    <w:abstractNumId w:val="23"/>
  </w:num>
  <w:num w:numId="21" w16cid:durableId="2000768086">
    <w:abstractNumId w:val="6"/>
  </w:num>
  <w:num w:numId="22" w16cid:durableId="1428309477">
    <w:abstractNumId w:val="9"/>
  </w:num>
  <w:num w:numId="23" w16cid:durableId="187765649">
    <w:abstractNumId w:val="12"/>
  </w:num>
  <w:num w:numId="24" w16cid:durableId="741610759">
    <w:abstractNumId w:val="25"/>
  </w:num>
  <w:num w:numId="25" w16cid:durableId="2059284169">
    <w:abstractNumId w:val="5"/>
  </w:num>
  <w:num w:numId="26" w16cid:durableId="570116928">
    <w:abstractNumId w:val="10"/>
  </w:num>
  <w:num w:numId="27" w16cid:durableId="1078022288">
    <w:abstractNumId w:val="26"/>
  </w:num>
  <w:num w:numId="28" w16cid:durableId="1381056244">
    <w:abstractNumId w:val="22"/>
  </w:num>
  <w:num w:numId="29" w16cid:durableId="618343216">
    <w:abstractNumId w:val="7"/>
  </w:num>
  <w:num w:numId="30" w16cid:durableId="56169587">
    <w:abstractNumId w:val="11"/>
  </w:num>
  <w:num w:numId="31" w16cid:durableId="564150903">
    <w:abstractNumId w:val="0"/>
  </w:num>
  <w:num w:numId="32" w16cid:durableId="180299238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lorence Fournel">
    <w15:presenceInfo w15:providerId="AD" w15:userId="S::Florence.Fournel@digital.etat.lu::479dc934-25f3-4246-97d8-93ea48944a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F6B"/>
    <w:rsid w:val="00011B3A"/>
    <w:rsid w:val="00027221"/>
    <w:rsid w:val="00035DDC"/>
    <w:rsid w:val="00036072"/>
    <w:rsid w:val="00067E44"/>
    <w:rsid w:val="000736FE"/>
    <w:rsid w:val="00080856"/>
    <w:rsid w:val="0008093E"/>
    <w:rsid w:val="00094172"/>
    <w:rsid w:val="000B4086"/>
    <w:rsid w:val="000C24AE"/>
    <w:rsid w:val="000C7723"/>
    <w:rsid w:val="000D38EE"/>
    <w:rsid w:val="000D3A66"/>
    <w:rsid w:val="000E4CF6"/>
    <w:rsid w:val="000E5649"/>
    <w:rsid w:val="000F5427"/>
    <w:rsid w:val="00100CB6"/>
    <w:rsid w:val="00106FAB"/>
    <w:rsid w:val="0011031D"/>
    <w:rsid w:val="00117ABC"/>
    <w:rsid w:val="001260EC"/>
    <w:rsid w:val="001406B0"/>
    <w:rsid w:val="001445A7"/>
    <w:rsid w:val="00145956"/>
    <w:rsid w:val="00177A60"/>
    <w:rsid w:val="00183AC5"/>
    <w:rsid w:val="00190FC7"/>
    <w:rsid w:val="00192F4A"/>
    <w:rsid w:val="0019724E"/>
    <w:rsid w:val="001B3CFE"/>
    <w:rsid w:val="001E407B"/>
    <w:rsid w:val="001E6250"/>
    <w:rsid w:val="001E6D39"/>
    <w:rsid w:val="00214F5F"/>
    <w:rsid w:val="00225EBF"/>
    <w:rsid w:val="0022728B"/>
    <w:rsid w:val="0023124C"/>
    <w:rsid w:val="00235E48"/>
    <w:rsid w:val="00236ED7"/>
    <w:rsid w:val="00240312"/>
    <w:rsid w:val="0026117C"/>
    <w:rsid w:val="00270109"/>
    <w:rsid w:val="00273028"/>
    <w:rsid w:val="00297B25"/>
    <w:rsid w:val="002A77D3"/>
    <w:rsid w:val="002B59B9"/>
    <w:rsid w:val="002B5F61"/>
    <w:rsid w:val="002E689A"/>
    <w:rsid w:val="002E6D46"/>
    <w:rsid w:val="00306C31"/>
    <w:rsid w:val="00321895"/>
    <w:rsid w:val="00322821"/>
    <w:rsid w:val="00342826"/>
    <w:rsid w:val="00344D2D"/>
    <w:rsid w:val="00351FA0"/>
    <w:rsid w:val="00361D86"/>
    <w:rsid w:val="0036378D"/>
    <w:rsid w:val="003A5CB7"/>
    <w:rsid w:val="003A7FA1"/>
    <w:rsid w:val="003D69E1"/>
    <w:rsid w:val="003F0076"/>
    <w:rsid w:val="00403D86"/>
    <w:rsid w:val="004270A4"/>
    <w:rsid w:val="004309CE"/>
    <w:rsid w:val="00434BF3"/>
    <w:rsid w:val="004418D4"/>
    <w:rsid w:val="0045040C"/>
    <w:rsid w:val="00467296"/>
    <w:rsid w:val="00467A76"/>
    <w:rsid w:val="004776C4"/>
    <w:rsid w:val="004B14FA"/>
    <w:rsid w:val="004B537D"/>
    <w:rsid w:val="004C66F1"/>
    <w:rsid w:val="004D3664"/>
    <w:rsid w:val="004F4435"/>
    <w:rsid w:val="004F53B8"/>
    <w:rsid w:val="00505A7D"/>
    <w:rsid w:val="00507B13"/>
    <w:rsid w:val="0051088A"/>
    <w:rsid w:val="00512CB8"/>
    <w:rsid w:val="005172C4"/>
    <w:rsid w:val="00565261"/>
    <w:rsid w:val="00565C3E"/>
    <w:rsid w:val="00595F5F"/>
    <w:rsid w:val="005A3CA1"/>
    <w:rsid w:val="005B3442"/>
    <w:rsid w:val="005B452D"/>
    <w:rsid w:val="005B722B"/>
    <w:rsid w:val="005B7321"/>
    <w:rsid w:val="005C3644"/>
    <w:rsid w:val="005C56C2"/>
    <w:rsid w:val="005D1357"/>
    <w:rsid w:val="005D760A"/>
    <w:rsid w:val="005E0697"/>
    <w:rsid w:val="005E1DF2"/>
    <w:rsid w:val="005E4580"/>
    <w:rsid w:val="005F7856"/>
    <w:rsid w:val="00624696"/>
    <w:rsid w:val="006301B4"/>
    <w:rsid w:val="00631A1E"/>
    <w:rsid w:val="006328B8"/>
    <w:rsid w:val="00634188"/>
    <w:rsid w:val="006404AC"/>
    <w:rsid w:val="00641CB2"/>
    <w:rsid w:val="006520CB"/>
    <w:rsid w:val="00672F38"/>
    <w:rsid w:val="00673F6B"/>
    <w:rsid w:val="00682C05"/>
    <w:rsid w:val="00685A15"/>
    <w:rsid w:val="00694140"/>
    <w:rsid w:val="006A00D7"/>
    <w:rsid w:val="006A0B94"/>
    <w:rsid w:val="006A3BE7"/>
    <w:rsid w:val="006A690C"/>
    <w:rsid w:val="006A7AAD"/>
    <w:rsid w:val="006A7FA5"/>
    <w:rsid w:val="006B34CC"/>
    <w:rsid w:val="006B5D07"/>
    <w:rsid w:val="006C35B0"/>
    <w:rsid w:val="006E4D61"/>
    <w:rsid w:val="006E7BC4"/>
    <w:rsid w:val="006F37D4"/>
    <w:rsid w:val="006F6EED"/>
    <w:rsid w:val="00703BC8"/>
    <w:rsid w:val="007064DB"/>
    <w:rsid w:val="0071131E"/>
    <w:rsid w:val="00717A23"/>
    <w:rsid w:val="00722932"/>
    <w:rsid w:val="00727D72"/>
    <w:rsid w:val="00750655"/>
    <w:rsid w:val="00751A8C"/>
    <w:rsid w:val="007555A4"/>
    <w:rsid w:val="007569B3"/>
    <w:rsid w:val="00765051"/>
    <w:rsid w:val="0078121D"/>
    <w:rsid w:val="00784D2D"/>
    <w:rsid w:val="007973A5"/>
    <w:rsid w:val="007A4C44"/>
    <w:rsid w:val="007B508B"/>
    <w:rsid w:val="007B6B5C"/>
    <w:rsid w:val="007C748B"/>
    <w:rsid w:val="007E782F"/>
    <w:rsid w:val="007F0AAD"/>
    <w:rsid w:val="00803CB6"/>
    <w:rsid w:val="00820FAE"/>
    <w:rsid w:val="00824037"/>
    <w:rsid w:val="00824AAD"/>
    <w:rsid w:val="0085271A"/>
    <w:rsid w:val="00873157"/>
    <w:rsid w:val="00876CC9"/>
    <w:rsid w:val="008920D1"/>
    <w:rsid w:val="0089388F"/>
    <w:rsid w:val="008948FD"/>
    <w:rsid w:val="008A01E0"/>
    <w:rsid w:val="008A102F"/>
    <w:rsid w:val="008B3941"/>
    <w:rsid w:val="008B531C"/>
    <w:rsid w:val="008C0FBD"/>
    <w:rsid w:val="008D613E"/>
    <w:rsid w:val="008D7C6B"/>
    <w:rsid w:val="008E2942"/>
    <w:rsid w:val="008E48BB"/>
    <w:rsid w:val="008E7918"/>
    <w:rsid w:val="008F5A19"/>
    <w:rsid w:val="00902F76"/>
    <w:rsid w:val="009070B6"/>
    <w:rsid w:val="009071C3"/>
    <w:rsid w:val="00917F6C"/>
    <w:rsid w:val="00922C53"/>
    <w:rsid w:val="00931DD9"/>
    <w:rsid w:val="00942B70"/>
    <w:rsid w:val="009546F9"/>
    <w:rsid w:val="009663C0"/>
    <w:rsid w:val="0096678E"/>
    <w:rsid w:val="009749AF"/>
    <w:rsid w:val="00976AB2"/>
    <w:rsid w:val="00984720"/>
    <w:rsid w:val="009914CB"/>
    <w:rsid w:val="00993024"/>
    <w:rsid w:val="009A57B8"/>
    <w:rsid w:val="009A63CE"/>
    <w:rsid w:val="009A75A3"/>
    <w:rsid w:val="009B0690"/>
    <w:rsid w:val="009B65D6"/>
    <w:rsid w:val="009C4ADD"/>
    <w:rsid w:val="009D2A55"/>
    <w:rsid w:val="009D33EF"/>
    <w:rsid w:val="009E29C8"/>
    <w:rsid w:val="00A00E8F"/>
    <w:rsid w:val="00A14E8E"/>
    <w:rsid w:val="00A15013"/>
    <w:rsid w:val="00A432D4"/>
    <w:rsid w:val="00A50EC6"/>
    <w:rsid w:val="00A52933"/>
    <w:rsid w:val="00A52AD6"/>
    <w:rsid w:val="00A53F11"/>
    <w:rsid w:val="00A6761E"/>
    <w:rsid w:val="00A72B07"/>
    <w:rsid w:val="00A8449D"/>
    <w:rsid w:val="00AA0A45"/>
    <w:rsid w:val="00AA44C1"/>
    <w:rsid w:val="00AC1281"/>
    <w:rsid w:val="00AC7B84"/>
    <w:rsid w:val="00AF3D5F"/>
    <w:rsid w:val="00B00A16"/>
    <w:rsid w:val="00B223C6"/>
    <w:rsid w:val="00B243CF"/>
    <w:rsid w:val="00B30640"/>
    <w:rsid w:val="00B44250"/>
    <w:rsid w:val="00B801F2"/>
    <w:rsid w:val="00B87682"/>
    <w:rsid w:val="00B90054"/>
    <w:rsid w:val="00B946A2"/>
    <w:rsid w:val="00B960CE"/>
    <w:rsid w:val="00B96555"/>
    <w:rsid w:val="00B975A5"/>
    <w:rsid w:val="00BA319C"/>
    <w:rsid w:val="00BA7664"/>
    <w:rsid w:val="00BC3F40"/>
    <w:rsid w:val="00BF0F38"/>
    <w:rsid w:val="00C00F62"/>
    <w:rsid w:val="00C0475C"/>
    <w:rsid w:val="00C04B1B"/>
    <w:rsid w:val="00C34183"/>
    <w:rsid w:val="00C45390"/>
    <w:rsid w:val="00C47827"/>
    <w:rsid w:val="00C53A3E"/>
    <w:rsid w:val="00C63F17"/>
    <w:rsid w:val="00C75AE0"/>
    <w:rsid w:val="00C8164F"/>
    <w:rsid w:val="00C97095"/>
    <w:rsid w:val="00CA18D4"/>
    <w:rsid w:val="00CB1A0F"/>
    <w:rsid w:val="00CB4363"/>
    <w:rsid w:val="00CB5DDD"/>
    <w:rsid w:val="00CB6E7A"/>
    <w:rsid w:val="00CC32C3"/>
    <w:rsid w:val="00CC3C01"/>
    <w:rsid w:val="00CC4852"/>
    <w:rsid w:val="00CC6A18"/>
    <w:rsid w:val="00CD074D"/>
    <w:rsid w:val="00CD1B36"/>
    <w:rsid w:val="00CD28B3"/>
    <w:rsid w:val="00CE366B"/>
    <w:rsid w:val="00D0200E"/>
    <w:rsid w:val="00D0522F"/>
    <w:rsid w:val="00D12D17"/>
    <w:rsid w:val="00D33AC4"/>
    <w:rsid w:val="00D40F84"/>
    <w:rsid w:val="00D475CC"/>
    <w:rsid w:val="00D67449"/>
    <w:rsid w:val="00D70681"/>
    <w:rsid w:val="00D84077"/>
    <w:rsid w:val="00D86A9C"/>
    <w:rsid w:val="00D90EB7"/>
    <w:rsid w:val="00D92DE3"/>
    <w:rsid w:val="00D9301A"/>
    <w:rsid w:val="00DA0B4A"/>
    <w:rsid w:val="00DD170B"/>
    <w:rsid w:val="00DD3126"/>
    <w:rsid w:val="00DE1873"/>
    <w:rsid w:val="00DF36D9"/>
    <w:rsid w:val="00E00B66"/>
    <w:rsid w:val="00E00D13"/>
    <w:rsid w:val="00E017A6"/>
    <w:rsid w:val="00E20583"/>
    <w:rsid w:val="00E22163"/>
    <w:rsid w:val="00E23B3E"/>
    <w:rsid w:val="00E44165"/>
    <w:rsid w:val="00E555C3"/>
    <w:rsid w:val="00E622D9"/>
    <w:rsid w:val="00E77748"/>
    <w:rsid w:val="00E83C70"/>
    <w:rsid w:val="00E944F8"/>
    <w:rsid w:val="00E964C3"/>
    <w:rsid w:val="00EC6720"/>
    <w:rsid w:val="00ED1234"/>
    <w:rsid w:val="00EE5540"/>
    <w:rsid w:val="00EF7CF4"/>
    <w:rsid w:val="00F13F56"/>
    <w:rsid w:val="00F1489A"/>
    <w:rsid w:val="00F156CC"/>
    <w:rsid w:val="00F15B7E"/>
    <w:rsid w:val="00F3263E"/>
    <w:rsid w:val="00F41246"/>
    <w:rsid w:val="00F433F2"/>
    <w:rsid w:val="00F472C8"/>
    <w:rsid w:val="00F81E03"/>
    <w:rsid w:val="00FA294C"/>
    <w:rsid w:val="00FC6C82"/>
    <w:rsid w:val="00FF29D2"/>
    <w:rsid w:val="00FF4E15"/>
    <w:rsid w:val="00FF6366"/>
    <w:rsid w:val="0B3BD5ED"/>
    <w:rsid w:val="2C8BD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4230B"/>
  <w15:chartTrackingRefBased/>
  <w15:docId w15:val="{B12D00C0-DBE7-480C-9CF1-E1563BA0D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F6B"/>
    <w:pPr>
      <w:spacing w:after="0" w:line="240" w:lineRule="auto"/>
    </w:pPr>
    <w:rPr>
      <w:rFonts w:ascii="Calibri" w:eastAsia="Times New Roman" w:hAnsi="Calibri" w:cs="Calibri"/>
      <w:sz w:val="24"/>
      <w:szCs w:val="24"/>
      <w:lang w:val="fr-FR" w:eastAsia="fr-FR"/>
    </w:rPr>
  </w:style>
  <w:style w:type="paragraph" w:styleId="Heading3">
    <w:name w:val="heading 3"/>
    <w:basedOn w:val="Normal"/>
    <w:next w:val="Normal"/>
    <w:link w:val="Heading3Char"/>
    <w:uiPriority w:val="9"/>
    <w:unhideWhenUsed/>
    <w:qFormat/>
    <w:rsid w:val="009A75A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3F6B"/>
    <w:rPr>
      <w:rFonts w:ascii="Arial" w:hAnsi="Arial"/>
      <w:color w:val="0000FF"/>
      <w:sz w:val="22"/>
      <w:u w:val="single"/>
      <w:lang w:val="fr-FR"/>
    </w:rPr>
  </w:style>
  <w:style w:type="paragraph" w:styleId="Header">
    <w:name w:val="header"/>
    <w:basedOn w:val="Normal"/>
    <w:link w:val="HeaderChar"/>
    <w:rsid w:val="00673F6B"/>
    <w:pPr>
      <w:tabs>
        <w:tab w:val="center" w:pos="4153"/>
        <w:tab w:val="right" w:pos="8306"/>
      </w:tabs>
      <w:spacing w:after="240"/>
      <w:jc w:val="both"/>
    </w:pPr>
    <w:rPr>
      <w:lang w:val="en-GB"/>
    </w:rPr>
  </w:style>
  <w:style w:type="character" w:customStyle="1" w:styleId="HeaderChar">
    <w:name w:val="Header Char"/>
    <w:basedOn w:val="DefaultParagraphFont"/>
    <w:link w:val="Header"/>
    <w:rsid w:val="00673F6B"/>
    <w:rPr>
      <w:rFonts w:ascii="Calibri" w:eastAsia="Times New Roman" w:hAnsi="Calibri" w:cs="Calibri"/>
      <w:sz w:val="24"/>
      <w:szCs w:val="24"/>
      <w:lang w:val="en-GB" w:eastAsia="fr-FR"/>
    </w:rPr>
  </w:style>
  <w:style w:type="paragraph" w:styleId="Footer">
    <w:name w:val="footer"/>
    <w:basedOn w:val="Normal"/>
    <w:link w:val="FooterChar"/>
    <w:rsid w:val="00673F6B"/>
    <w:pPr>
      <w:ind w:right="-567"/>
    </w:pPr>
    <w:rPr>
      <w:sz w:val="16"/>
      <w:lang w:val="en-GB"/>
    </w:rPr>
  </w:style>
  <w:style w:type="character" w:customStyle="1" w:styleId="FooterChar">
    <w:name w:val="Footer Char"/>
    <w:basedOn w:val="DefaultParagraphFont"/>
    <w:link w:val="Footer"/>
    <w:rsid w:val="00673F6B"/>
    <w:rPr>
      <w:rFonts w:ascii="Calibri" w:eastAsia="Times New Roman" w:hAnsi="Calibri" w:cs="Calibri"/>
      <w:sz w:val="16"/>
      <w:szCs w:val="24"/>
      <w:lang w:val="en-GB" w:eastAsia="fr-FR"/>
    </w:rPr>
  </w:style>
  <w:style w:type="character" w:styleId="PageNumber">
    <w:name w:val="page number"/>
    <w:rsid w:val="00673F6B"/>
    <w:rPr>
      <w:rFonts w:ascii="Arial" w:hAnsi="Arial"/>
      <w:sz w:val="22"/>
    </w:rPr>
  </w:style>
  <w:style w:type="paragraph" w:styleId="ListParagraph">
    <w:name w:val="List Paragraph"/>
    <w:aliases w:val="Liste - CTIE,List Paragraph1"/>
    <w:basedOn w:val="Normal"/>
    <w:link w:val="ListParagraphChar"/>
    <w:uiPriority w:val="34"/>
    <w:qFormat/>
    <w:rsid w:val="00673F6B"/>
    <w:pPr>
      <w:ind w:left="720"/>
    </w:pPr>
  </w:style>
  <w:style w:type="character" w:customStyle="1" w:styleId="ListParagraphChar">
    <w:name w:val="List Paragraph Char"/>
    <w:aliases w:val="Liste - CTIE Char,List Paragraph1 Char"/>
    <w:basedOn w:val="DefaultParagraphFont"/>
    <w:link w:val="ListParagraph"/>
    <w:uiPriority w:val="34"/>
    <w:rsid w:val="00673F6B"/>
    <w:rPr>
      <w:rFonts w:ascii="Calibri" w:eastAsia="Times New Roman" w:hAnsi="Calibri" w:cs="Calibri"/>
      <w:sz w:val="24"/>
      <w:szCs w:val="24"/>
      <w:lang w:val="fr-FR" w:eastAsia="fr-FR"/>
    </w:rPr>
  </w:style>
  <w:style w:type="table" w:styleId="GridTable6Colorful-Accent1">
    <w:name w:val="Grid Table 6 Colorful Accent 1"/>
    <w:basedOn w:val="TableNormal"/>
    <w:uiPriority w:val="51"/>
    <w:rsid w:val="00673F6B"/>
    <w:pPr>
      <w:spacing w:after="0" w:line="240" w:lineRule="auto"/>
    </w:pPr>
    <w:rPr>
      <w:rFonts w:ascii="Times New Roman" w:eastAsia="Times New Roman" w:hAnsi="Times New Roman" w:cs="Times New Roman"/>
      <w:color w:val="2F5496" w:themeColor="accent1" w:themeShade="BF"/>
      <w:sz w:val="20"/>
      <w:szCs w:val="20"/>
      <w:lang w:val="fr-BE" w:eastAsia="fr-B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budget-amount">
    <w:name w:val="budget-amount"/>
    <w:basedOn w:val="DefaultParagraphFont"/>
    <w:rsid w:val="00673F6B"/>
  </w:style>
  <w:style w:type="table" w:styleId="LightList-Accent5">
    <w:name w:val="Light List Accent 5"/>
    <w:basedOn w:val="TableNormal"/>
    <w:uiPriority w:val="61"/>
    <w:rsid w:val="00722932"/>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customStyle="1" w:styleId="LightList-Accent51">
    <w:name w:val="Light List - Accent 51"/>
    <w:basedOn w:val="TableNormal"/>
    <w:next w:val="LightList-Accent5"/>
    <w:uiPriority w:val="61"/>
    <w:rsid w:val="00722932"/>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character" w:styleId="CommentReference">
    <w:name w:val="annotation reference"/>
    <w:basedOn w:val="DefaultParagraphFont"/>
    <w:semiHidden/>
    <w:unhideWhenUsed/>
    <w:rsid w:val="000E5649"/>
    <w:rPr>
      <w:sz w:val="16"/>
      <w:szCs w:val="16"/>
    </w:rPr>
  </w:style>
  <w:style w:type="paragraph" w:styleId="CommentText">
    <w:name w:val="annotation text"/>
    <w:basedOn w:val="Normal"/>
    <w:link w:val="CommentTextChar"/>
    <w:uiPriority w:val="99"/>
    <w:unhideWhenUsed/>
    <w:rsid w:val="000E5649"/>
    <w:rPr>
      <w:sz w:val="20"/>
      <w:szCs w:val="20"/>
    </w:rPr>
  </w:style>
  <w:style w:type="character" w:customStyle="1" w:styleId="CommentTextChar">
    <w:name w:val="Comment Text Char"/>
    <w:basedOn w:val="DefaultParagraphFont"/>
    <w:link w:val="CommentText"/>
    <w:uiPriority w:val="99"/>
    <w:rsid w:val="000E5649"/>
    <w:rPr>
      <w:rFonts w:ascii="Calibri" w:eastAsia="Times New Roman" w:hAnsi="Calibri" w:cs="Calibri"/>
      <w:sz w:val="20"/>
      <w:szCs w:val="20"/>
      <w:lang w:val="fr-FR" w:eastAsia="fr-FR"/>
    </w:rPr>
  </w:style>
  <w:style w:type="paragraph" w:styleId="BalloonText">
    <w:name w:val="Balloon Text"/>
    <w:basedOn w:val="Normal"/>
    <w:link w:val="BalloonTextChar"/>
    <w:uiPriority w:val="99"/>
    <w:semiHidden/>
    <w:unhideWhenUsed/>
    <w:rsid w:val="000E56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649"/>
    <w:rPr>
      <w:rFonts w:ascii="Segoe UI" w:eastAsia="Times New Roman" w:hAnsi="Segoe UI" w:cs="Segoe UI"/>
      <w:sz w:val="18"/>
      <w:szCs w:val="18"/>
      <w:lang w:val="fr-FR" w:eastAsia="fr-FR"/>
    </w:rPr>
  </w:style>
  <w:style w:type="paragraph" w:styleId="FootnoteText">
    <w:name w:val="footnote text"/>
    <w:basedOn w:val="Normal"/>
    <w:link w:val="FootnoteTextChar"/>
    <w:rsid w:val="009B65D6"/>
    <w:pPr>
      <w:spacing w:after="240"/>
      <w:ind w:left="357" w:hanging="357"/>
      <w:jc w:val="both"/>
    </w:pPr>
    <w:rPr>
      <w:sz w:val="20"/>
      <w:lang w:val="en-GB"/>
    </w:rPr>
  </w:style>
  <w:style w:type="character" w:customStyle="1" w:styleId="FootnoteTextChar">
    <w:name w:val="Footnote Text Char"/>
    <w:basedOn w:val="DefaultParagraphFont"/>
    <w:link w:val="FootnoteText"/>
    <w:rsid w:val="009B65D6"/>
    <w:rPr>
      <w:rFonts w:ascii="Calibri" w:eastAsia="Times New Roman" w:hAnsi="Calibri" w:cs="Calibri"/>
      <w:sz w:val="20"/>
      <w:szCs w:val="24"/>
      <w:lang w:val="en-GB" w:eastAsia="fr-FR"/>
    </w:rPr>
  </w:style>
  <w:style w:type="paragraph" w:styleId="CommentSubject">
    <w:name w:val="annotation subject"/>
    <w:basedOn w:val="CommentText"/>
    <w:next w:val="CommentText"/>
    <w:link w:val="CommentSubjectChar"/>
    <w:uiPriority w:val="99"/>
    <w:semiHidden/>
    <w:unhideWhenUsed/>
    <w:rsid w:val="00CC6A18"/>
    <w:rPr>
      <w:b/>
      <w:bCs/>
    </w:rPr>
  </w:style>
  <w:style w:type="character" w:customStyle="1" w:styleId="CommentSubjectChar">
    <w:name w:val="Comment Subject Char"/>
    <w:basedOn w:val="CommentTextChar"/>
    <w:link w:val="CommentSubject"/>
    <w:uiPriority w:val="99"/>
    <w:semiHidden/>
    <w:rsid w:val="00CC6A18"/>
    <w:rPr>
      <w:rFonts w:ascii="Calibri" w:eastAsia="Times New Roman" w:hAnsi="Calibri" w:cs="Calibri"/>
      <w:b/>
      <w:bCs/>
      <w:sz w:val="20"/>
      <w:szCs w:val="20"/>
      <w:lang w:val="fr-FR" w:eastAsia="fr-FR"/>
    </w:rPr>
  </w:style>
  <w:style w:type="table" w:styleId="TableGrid">
    <w:name w:val="Table Grid"/>
    <w:basedOn w:val="TableNormal"/>
    <w:uiPriority w:val="39"/>
    <w:rsid w:val="008A0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A75A3"/>
    <w:rPr>
      <w:rFonts w:asciiTheme="majorHAnsi" w:eastAsiaTheme="majorEastAsia" w:hAnsiTheme="majorHAnsi" w:cstheme="majorBidi"/>
      <w:color w:val="1F3763" w:themeColor="accent1" w:themeShade="7F"/>
      <w:sz w:val="24"/>
      <w:szCs w:val="24"/>
      <w:lang w:val="fr-FR" w:eastAsia="fr-FR"/>
    </w:rPr>
  </w:style>
  <w:style w:type="paragraph" w:customStyle="1" w:styleId="pf0">
    <w:name w:val="pf0"/>
    <w:basedOn w:val="Normal"/>
    <w:rsid w:val="008E48BB"/>
    <w:pPr>
      <w:spacing w:before="100" w:beforeAutospacing="1" w:after="100" w:afterAutospacing="1"/>
      <w:ind w:left="720"/>
    </w:pPr>
    <w:rPr>
      <w:rFonts w:ascii="Times New Roman" w:hAnsi="Times New Roman" w:cs="Times New Roman"/>
      <w:lang w:val="en-US" w:eastAsia="en-US"/>
    </w:rPr>
  </w:style>
  <w:style w:type="character" w:customStyle="1" w:styleId="cf01">
    <w:name w:val="cf01"/>
    <w:basedOn w:val="DefaultParagraphFont"/>
    <w:rsid w:val="008E48BB"/>
    <w:rPr>
      <w:rFonts w:ascii="Segoe UI" w:hAnsi="Segoe UI" w:cs="Segoe UI" w:hint="default"/>
      <w:sz w:val="18"/>
      <w:szCs w:val="18"/>
    </w:rPr>
  </w:style>
  <w:style w:type="character" w:customStyle="1" w:styleId="cf11">
    <w:name w:val="cf11"/>
    <w:basedOn w:val="DefaultParagraphFont"/>
    <w:rsid w:val="008E48BB"/>
    <w:rPr>
      <w:rFonts w:ascii="Segoe UI" w:hAnsi="Segoe UI" w:cs="Segoe UI" w:hint="default"/>
      <w:b/>
      <w:bCs/>
      <w:sz w:val="18"/>
      <w:szCs w:val="18"/>
    </w:rPr>
  </w:style>
  <w:style w:type="character" w:customStyle="1" w:styleId="cf21">
    <w:name w:val="cf21"/>
    <w:basedOn w:val="DefaultParagraphFont"/>
    <w:rsid w:val="008E48BB"/>
    <w:rPr>
      <w:rFonts w:ascii="Segoe UI" w:hAnsi="Segoe UI" w:cs="Segoe UI" w:hint="default"/>
      <w:sz w:val="18"/>
      <w:szCs w:val="18"/>
    </w:rPr>
  </w:style>
  <w:style w:type="paragraph" w:styleId="Revision">
    <w:name w:val="Revision"/>
    <w:hidden/>
    <w:uiPriority w:val="99"/>
    <w:semiHidden/>
    <w:rsid w:val="00190FC7"/>
    <w:pPr>
      <w:spacing w:after="0" w:line="240" w:lineRule="auto"/>
    </w:pPr>
    <w:rPr>
      <w:rFonts w:ascii="Calibri" w:eastAsia="Times New Roman" w:hAnsi="Calibri" w:cs="Calibri"/>
      <w:sz w:val="24"/>
      <w:szCs w:val="24"/>
      <w:lang w:val="fr-FR" w:eastAsia="fr-FR"/>
    </w:rPr>
  </w:style>
  <w:style w:type="character" w:styleId="UnresolvedMention">
    <w:name w:val="Unresolved Mention"/>
    <w:basedOn w:val="DefaultParagraphFont"/>
    <w:uiPriority w:val="99"/>
    <w:semiHidden/>
    <w:unhideWhenUsed/>
    <w:rsid w:val="004776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945119">
      <w:bodyDiv w:val="1"/>
      <w:marLeft w:val="0"/>
      <w:marRight w:val="0"/>
      <w:marTop w:val="0"/>
      <w:marBottom w:val="0"/>
      <w:divBdr>
        <w:top w:val="none" w:sz="0" w:space="0" w:color="auto"/>
        <w:left w:val="none" w:sz="0" w:space="0" w:color="auto"/>
        <w:bottom w:val="none" w:sz="0" w:space="0" w:color="auto"/>
        <w:right w:val="none" w:sz="0" w:space="0" w:color="auto"/>
      </w:divBdr>
    </w:div>
    <w:div w:id="380519027">
      <w:bodyDiv w:val="1"/>
      <w:marLeft w:val="0"/>
      <w:marRight w:val="0"/>
      <w:marTop w:val="0"/>
      <w:marBottom w:val="0"/>
      <w:divBdr>
        <w:top w:val="none" w:sz="0" w:space="0" w:color="auto"/>
        <w:left w:val="none" w:sz="0" w:space="0" w:color="auto"/>
        <w:bottom w:val="none" w:sz="0" w:space="0" w:color="auto"/>
        <w:right w:val="none" w:sz="0" w:space="0" w:color="auto"/>
      </w:divBdr>
    </w:div>
    <w:div w:id="694695138">
      <w:bodyDiv w:val="1"/>
      <w:marLeft w:val="0"/>
      <w:marRight w:val="0"/>
      <w:marTop w:val="0"/>
      <w:marBottom w:val="0"/>
      <w:divBdr>
        <w:top w:val="none" w:sz="0" w:space="0" w:color="auto"/>
        <w:left w:val="none" w:sz="0" w:space="0" w:color="auto"/>
        <w:bottom w:val="none" w:sz="0" w:space="0" w:color="auto"/>
        <w:right w:val="none" w:sz="0" w:space="0" w:color="auto"/>
      </w:divBdr>
    </w:div>
    <w:div w:id="853417281">
      <w:bodyDiv w:val="1"/>
      <w:marLeft w:val="0"/>
      <w:marRight w:val="0"/>
      <w:marTop w:val="0"/>
      <w:marBottom w:val="0"/>
      <w:divBdr>
        <w:top w:val="none" w:sz="0" w:space="0" w:color="auto"/>
        <w:left w:val="none" w:sz="0" w:space="0" w:color="auto"/>
        <w:bottom w:val="none" w:sz="0" w:space="0" w:color="auto"/>
        <w:right w:val="none" w:sz="0" w:space="0" w:color="auto"/>
      </w:divBdr>
    </w:div>
    <w:div w:id="1080903400">
      <w:bodyDiv w:val="1"/>
      <w:marLeft w:val="0"/>
      <w:marRight w:val="0"/>
      <w:marTop w:val="0"/>
      <w:marBottom w:val="0"/>
      <w:divBdr>
        <w:top w:val="none" w:sz="0" w:space="0" w:color="auto"/>
        <w:left w:val="none" w:sz="0" w:space="0" w:color="auto"/>
        <w:bottom w:val="none" w:sz="0" w:space="0" w:color="auto"/>
        <w:right w:val="none" w:sz="0" w:space="0" w:color="auto"/>
      </w:divBdr>
    </w:div>
    <w:div w:id="1106120355">
      <w:bodyDiv w:val="1"/>
      <w:marLeft w:val="0"/>
      <w:marRight w:val="0"/>
      <w:marTop w:val="0"/>
      <w:marBottom w:val="0"/>
      <w:divBdr>
        <w:top w:val="none" w:sz="0" w:space="0" w:color="auto"/>
        <w:left w:val="none" w:sz="0" w:space="0" w:color="auto"/>
        <w:bottom w:val="none" w:sz="0" w:space="0" w:color="auto"/>
        <w:right w:val="none" w:sz="0" w:space="0" w:color="auto"/>
      </w:divBdr>
      <w:divsChild>
        <w:div w:id="163668110">
          <w:marLeft w:val="547"/>
          <w:marRight w:val="0"/>
          <w:marTop w:val="115"/>
          <w:marBottom w:val="0"/>
          <w:divBdr>
            <w:top w:val="none" w:sz="0" w:space="0" w:color="auto"/>
            <w:left w:val="none" w:sz="0" w:space="0" w:color="auto"/>
            <w:bottom w:val="none" w:sz="0" w:space="0" w:color="auto"/>
            <w:right w:val="none" w:sz="0" w:space="0" w:color="auto"/>
          </w:divBdr>
        </w:div>
        <w:div w:id="996500331">
          <w:marLeft w:val="547"/>
          <w:marRight w:val="0"/>
          <w:marTop w:val="115"/>
          <w:marBottom w:val="0"/>
          <w:divBdr>
            <w:top w:val="none" w:sz="0" w:space="0" w:color="auto"/>
            <w:left w:val="none" w:sz="0" w:space="0" w:color="auto"/>
            <w:bottom w:val="none" w:sz="0" w:space="0" w:color="auto"/>
            <w:right w:val="none" w:sz="0" w:space="0" w:color="auto"/>
          </w:divBdr>
        </w:div>
        <w:div w:id="1012536494">
          <w:marLeft w:val="547"/>
          <w:marRight w:val="0"/>
          <w:marTop w:val="115"/>
          <w:marBottom w:val="0"/>
          <w:divBdr>
            <w:top w:val="none" w:sz="0" w:space="0" w:color="auto"/>
            <w:left w:val="none" w:sz="0" w:space="0" w:color="auto"/>
            <w:bottom w:val="none" w:sz="0" w:space="0" w:color="auto"/>
            <w:right w:val="none" w:sz="0" w:space="0" w:color="auto"/>
          </w:divBdr>
        </w:div>
        <w:div w:id="1713531233">
          <w:marLeft w:val="547"/>
          <w:marRight w:val="0"/>
          <w:marTop w:val="115"/>
          <w:marBottom w:val="0"/>
          <w:divBdr>
            <w:top w:val="none" w:sz="0" w:space="0" w:color="auto"/>
            <w:left w:val="none" w:sz="0" w:space="0" w:color="auto"/>
            <w:bottom w:val="none" w:sz="0" w:space="0" w:color="auto"/>
            <w:right w:val="none" w:sz="0" w:space="0" w:color="auto"/>
          </w:divBdr>
        </w:div>
        <w:div w:id="1059088810">
          <w:marLeft w:val="547"/>
          <w:marRight w:val="0"/>
          <w:marTop w:val="115"/>
          <w:marBottom w:val="0"/>
          <w:divBdr>
            <w:top w:val="none" w:sz="0" w:space="0" w:color="auto"/>
            <w:left w:val="none" w:sz="0" w:space="0" w:color="auto"/>
            <w:bottom w:val="none" w:sz="0" w:space="0" w:color="auto"/>
            <w:right w:val="none" w:sz="0" w:space="0" w:color="auto"/>
          </w:divBdr>
        </w:div>
        <w:div w:id="597174303">
          <w:marLeft w:val="547"/>
          <w:marRight w:val="0"/>
          <w:marTop w:val="115"/>
          <w:marBottom w:val="0"/>
          <w:divBdr>
            <w:top w:val="none" w:sz="0" w:space="0" w:color="auto"/>
            <w:left w:val="none" w:sz="0" w:space="0" w:color="auto"/>
            <w:bottom w:val="none" w:sz="0" w:space="0" w:color="auto"/>
            <w:right w:val="none" w:sz="0" w:space="0" w:color="auto"/>
          </w:divBdr>
        </w:div>
        <w:div w:id="1097604264">
          <w:marLeft w:val="547"/>
          <w:marRight w:val="0"/>
          <w:marTop w:val="115"/>
          <w:marBottom w:val="0"/>
          <w:divBdr>
            <w:top w:val="none" w:sz="0" w:space="0" w:color="auto"/>
            <w:left w:val="none" w:sz="0" w:space="0" w:color="auto"/>
            <w:bottom w:val="none" w:sz="0" w:space="0" w:color="auto"/>
            <w:right w:val="none" w:sz="0" w:space="0" w:color="auto"/>
          </w:divBdr>
        </w:div>
        <w:div w:id="233856121">
          <w:marLeft w:val="547"/>
          <w:marRight w:val="0"/>
          <w:marTop w:val="115"/>
          <w:marBottom w:val="0"/>
          <w:divBdr>
            <w:top w:val="none" w:sz="0" w:space="0" w:color="auto"/>
            <w:left w:val="none" w:sz="0" w:space="0" w:color="auto"/>
            <w:bottom w:val="none" w:sz="0" w:space="0" w:color="auto"/>
            <w:right w:val="none" w:sz="0" w:space="0" w:color="auto"/>
          </w:divBdr>
        </w:div>
      </w:divsChild>
    </w:div>
    <w:div w:id="1216089719">
      <w:bodyDiv w:val="1"/>
      <w:marLeft w:val="0"/>
      <w:marRight w:val="0"/>
      <w:marTop w:val="0"/>
      <w:marBottom w:val="0"/>
      <w:divBdr>
        <w:top w:val="none" w:sz="0" w:space="0" w:color="auto"/>
        <w:left w:val="none" w:sz="0" w:space="0" w:color="auto"/>
        <w:bottom w:val="none" w:sz="0" w:space="0" w:color="auto"/>
        <w:right w:val="none" w:sz="0" w:space="0" w:color="auto"/>
      </w:divBdr>
    </w:div>
    <w:div w:id="122383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mailto:florence.fournel@digital.etat.l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mailto:info@zesummendigital.public.lu"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digital.gouvernement.l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zesummendigital.public.lu" TargetMode="Externa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inDigital Document" ma:contentTypeID="0x010100B602CA04C262E244AFBF0036DBFC64D300ED98FB921B530D43B514E99E962B2B24" ma:contentTypeVersion="25" ma:contentTypeDescription="" ma:contentTypeScope="" ma:versionID="d08c72b2302df913391080d287791dbf">
  <xsd:schema xmlns:xsd="http://www.w3.org/2001/XMLSchema" xmlns:xs="http://www.w3.org/2001/XMLSchema" xmlns:p="http://schemas.microsoft.com/office/2006/metadata/properties" xmlns:ns1="http://schemas.microsoft.com/sharepoint/v3" xmlns:ns2="c6cffd9d-65b9-4a5b-b1fd-4b01262487db" targetNamespace="http://schemas.microsoft.com/office/2006/metadata/properties" ma:root="true" ma:fieldsID="87220646a53bbfe8a2b8d56e630273b2" ns1:_="" ns2:_="">
    <xsd:import namespace="http://schemas.microsoft.com/sharepoint/v3"/>
    <xsd:import namespace="c6cffd9d-65b9-4a5b-b1fd-4b01262487db"/>
    <xsd:element name="properties">
      <xsd:complexType>
        <xsd:sequence>
          <xsd:element name="documentManagement">
            <xsd:complexType>
              <xsd:all>
                <xsd:element ref="ns1:RoutingRuleDescription" minOccurs="0"/>
                <xsd:element ref="ns2:MDIGOwnerTaxHTField" minOccurs="0"/>
                <xsd:element ref="ns2:MDIGDate" minOccurs="0"/>
                <xsd:element ref="ns2:MDIGDocumentTypeTaxHTField" minOccurs="0"/>
                <xsd:element ref="ns2:MDIGThemeTaxHTField" minOccurs="0"/>
                <xsd:element ref="ns2:MDIGStatus" minOccurs="0"/>
                <xsd:element ref="ns2:TaxCatchAll" minOccurs="0"/>
                <xsd:element ref="ns2:TaxCatchAllLabel" minOccurs="0"/>
                <xsd:element ref="ns2:SharedWithUsers" minOccurs="0"/>
                <xsd:element ref="ns2:ScanDate" minOccurs="0"/>
                <xsd:element ref="ns2:OriginalFolder"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cffd9d-65b9-4a5b-b1fd-4b01262487db" elementFormDefault="qualified">
    <xsd:import namespace="http://schemas.microsoft.com/office/2006/documentManagement/types"/>
    <xsd:import namespace="http://schemas.microsoft.com/office/infopath/2007/PartnerControls"/>
    <xsd:element name="MDIGOwnerTaxHTField" ma:index="3" nillable="true" ma:taxonomy="true" ma:internalName="MDIGOwnerTaxHTField" ma:taxonomyFieldName="MDIGOwner" ma:displayName="Propriétaire" ma:fieldId="{ebdb6b70-46d4-42b2-866a-768765ffca96}" ma:sspId="82e829d6-0aa8-4a01-b555-cbb545a96552" ma:termSetId="f2a250bd-12a4-4004-abc6-aa50944a0156" ma:anchorId="00000000-0000-0000-0000-000000000000" ma:open="false" ma:isKeyword="false">
      <xsd:complexType>
        <xsd:sequence>
          <xsd:element ref="pc:Terms" minOccurs="0" maxOccurs="1"/>
        </xsd:sequence>
      </xsd:complexType>
    </xsd:element>
    <xsd:element name="MDIGDate" ma:index="5" nillable="true" ma:displayName="Date" ma:default="[today]" ma:description="" ma:format="DateOnly" ma:internalName="MDIGDate">
      <xsd:simpleType>
        <xsd:restriction base="dms:DateTime"/>
      </xsd:simpleType>
    </xsd:element>
    <xsd:element name="MDIGDocumentTypeTaxHTField" ma:index="8" nillable="true" ma:taxonomy="true" ma:internalName="MDIGDocumentTypeTaxHTField" ma:taxonomyFieldName="MDIGDocumentType" ma:displayName="Type de document" ma:fieldId="{0e2c5be5-6e88-49d9-82be-f8de420719a1}" ma:sspId="82e829d6-0aa8-4a01-b555-cbb545a96552" ma:termSetId="4a0848d1-01f9-4149-a364-0f5b8dcae9cf" ma:anchorId="00000000-0000-0000-0000-000000000000" ma:open="false" ma:isKeyword="false">
      <xsd:complexType>
        <xsd:sequence>
          <xsd:element ref="pc:Terms" minOccurs="0" maxOccurs="1"/>
        </xsd:sequence>
      </xsd:complexType>
    </xsd:element>
    <xsd:element name="MDIGThemeTaxHTField" ma:index="10" nillable="true" ma:taxonomy="true" ma:internalName="MDIGThemeTaxHTField" ma:taxonomyFieldName="MDIGTheme" ma:displayName="Thématique" ma:default="" ma:fieldId="{cf11ccff-d1a3-43ea-87bc-ba9dfa1b0d52}" ma:taxonomyMulti="true" ma:sspId="82e829d6-0aa8-4a01-b555-cbb545a96552" ma:termSetId="68c69ba9-879f-4c44-9010-7517c88d76b1" ma:anchorId="00000000-0000-0000-0000-000000000000" ma:open="true" ma:isKeyword="false">
      <xsd:complexType>
        <xsd:sequence>
          <xsd:element ref="pc:Terms" minOccurs="0" maxOccurs="1"/>
        </xsd:sequence>
      </xsd:complexType>
    </xsd:element>
    <xsd:element name="MDIGStatus" ma:index="12" nillable="true" ma:displayName="Statut" ma:default="" ma:description="" ma:format="Dropdown" ma:internalName="MDIGStatus">
      <xsd:simpleType>
        <xsd:restriction base="dms:Choice">
          <xsd:enumeration value="Brouillon"/>
          <xsd:enumeration value="Pour avis"/>
          <xsd:enumeration value="Pour relecture"/>
          <xsd:enumeration value="À compléter"/>
          <xsd:enumeration value="Finalisé"/>
          <xsd:enumeration value="Pour envoi"/>
          <xsd:enumeration value="Envoyé"/>
          <xsd:enumeration value="Réponse à préparer"/>
          <xsd:enumeration value="Pour attribution"/>
          <xsd:enumeration value="À classer"/>
        </xsd:restriction>
      </xsd:simpleType>
    </xsd:element>
    <xsd:element name="TaxCatchAll" ma:index="18" nillable="true" ma:displayName="Taxonomy Catch All Column" ma:description="" ma:hidden="true" ma:list="{9d93edc1-45bd-4dfa-bd85-974915ee3b5e}" ma:internalName="TaxCatchAll" ma:showField="CatchAllData" ma:web="c6cffd9d-65b9-4a5b-b1fd-4b01262487db">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9d93edc1-45bd-4dfa-bd85-974915ee3b5e}" ma:internalName="TaxCatchAllLabel" ma:readOnly="true" ma:showField="CatchAllDataLabel" ma:web="c6cffd9d-65b9-4a5b-b1fd-4b01262487d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anDate" ma:index="23" nillable="true" ma:displayName="ScanDate" ma:description="" ma:format="DateOnly" ma:internalName="ScanDate">
      <xsd:simpleType>
        <xsd:restriction base="dms:DateTime"/>
      </xsd:simpleType>
    </xsd:element>
    <xsd:element name="OriginalFolder" ma:index="24" nillable="true" ma:displayName="OriginalFolder" ma:description="" ma:internalName="OriginalFolder">
      <xsd:simpleType>
        <xsd:restriction base="dms:Text">
          <xsd:maxLength value="255"/>
        </xsd:restriction>
      </xsd:simple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DIGDocumentTypeTaxHTField xmlns="c6cffd9d-65b9-4a5b-b1fd-4b01262487db">
      <Terms xmlns="http://schemas.microsoft.com/office/infopath/2007/PartnerControls"/>
    </MDIGDocumentTypeTaxHTField>
    <MDIGStatus xmlns="c6cffd9d-65b9-4a5b-b1fd-4b01262487db">Finalisé</MDIGStatus>
    <TaxCatchAll xmlns="c6cffd9d-65b9-4a5b-b1fd-4b01262487db">
      <Value>22</Value>
      <Value>69</Value>
    </TaxCatchAll>
    <MDIGOwnerTaxHTField xmlns="c6cffd9d-65b9-4a5b-b1fd-4b01262487db">
      <Terms xmlns="http://schemas.microsoft.com/office/infopath/2007/PartnerControls">
        <TermInfo xmlns="http://schemas.microsoft.com/office/infopath/2007/PartnerControls">
          <TermName xmlns="http://schemas.microsoft.com/office/infopath/2007/PartnerControls">Ministère</TermName>
          <TermId xmlns="http://schemas.microsoft.com/office/infopath/2007/PartnerControls">2ea23bbb-707b-4bb4-b14c-2c11850e1ded</TermId>
        </TermInfo>
      </Terms>
    </MDIGOwnerTaxHTField>
    <RoutingRuleDescription xmlns="http://schemas.microsoft.com/sharepoint/v3">Appel à Projets Inclusion Numérique 2024-2025</RoutingRuleDescription>
    <ScanDate xmlns="c6cffd9d-65b9-4a5b-b1fd-4b01262487db" xsi:nil="true"/>
    <MDIGThemeTaxHTField xmlns="c6cffd9d-65b9-4a5b-b1fd-4b01262487db">
      <Terms xmlns="http://schemas.microsoft.com/office/infopath/2007/PartnerControls">
        <TermInfo xmlns="http://schemas.microsoft.com/office/infopath/2007/PartnerControls">
          <TermName xmlns="http://schemas.microsoft.com/office/infopath/2007/PartnerControls">Inclusion numérique</TermName>
          <TermId xmlns="http://schemas.microsoft.com/office/infopath/2007/PartnerControls">6817ffbb-7c03-4b0b-b885-1e0e1b1a00aa</TermId>
        </TermInfo>
      </Terms>
    </MDIGThemeTaxHTField>
    <OriginalFolder xmlns="c6cffd9d-65b9-4a5b-b1fd-4b01262487db" xsi:nil="true"/>
    <MDIGDate xmlns="c6cffd9d-65b9-4a5b-b1fd-4b01262487db">2024-01-11T23:00:00+00:00</MDIGDate>
  </documentManagement>
</p:properties>
</file>

<file path=customXml/itemProps1.xml><?xml version="1.0" encoding="utf-8"?>
<ds:datastoreItem xmlns:ds="http://schemas.openxmlformats.org/officeDocument/2006/customXml" ds:itemID="{B6E914E4-8D76-4F6E-B633-F1CD34A58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cffd9d-65b9-4a5b-b1fd-4b01262487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80304A-D0E2-420D-90D2-28817F6E205D}">
  <ds:schemaRefs>
    <ds:schemaRef ds:uri="http://schemas.openxmlformats.org/officeDocument/2006/bibliography"/>
  </ds:schemaRefs>
</ds:datastoreItem>
</file>

<file path=customXml/itemProps3.xml><?xml version="1.0" encoding="utf-8"?>
<ds:datastoreItem xmlns:ds="http://schemas.openxmlformats.org/officeDocument/2006/customXml" ds:itemID="{E959D5E1-49DC-44CE-B7AB-9BD8206C39A6}">
  <ds:schemaRefs>
    <ds:schemaRef ds:uri="http://schemas.microsoft.com/sharepoint/v3/contenttype/forms"/>
  </ds:schemaRefs>
</ds:datastoreItem>
</file>

<file path=customXml/itemProps4.xml><?xml version="1.0" encoding="utf-8"?>
<ds:datastoreItem xmlns:ds="http://schemas.openxmlformats.org/officeDocument/2006/customXml" ds:itemID="{3707BB0C-CBFB-40E3-A4B8-2DBF9C1436D3}">
  <ds:schemaRefs>
    <ds:schemaRef ds:uri="http://schemas.microsoft.com/office/2006/metadata/properties"/>
    <ds:schemaRef ds:uri="http://schemas.microsoft.com/office/infopath/2007/PartnerControls"/>
    <ds:schemaRef ds:uri="c6cffd9d-65b9-4a5b-b1fd-4b01262487db"/>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2171</Words>
  <Characters>12376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Appel à Projets Inclusion Numérique 2024-2025</vt:lpstr>
    </vt:vector>
  </TitlesOfParts>
  <Company>CTIE</Company>
  <LinksUpToDate>false</LinksUpToDate>
  <CharactersWithSpaces>14518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Appel à Projets Inclusion Numérique 2024-2025</dc:title>
  <dc:subject/>
  <dc:creator>Ben Max</dc:creator>
  <cp:keywords/>
  <dc:description/>
  <cp:lastModifiedBy>Florence Fournel</cp:lastModifiedBy>
  <cp:revision>34</cp:revision>
  <cp:lastPrinted>2024-01-11T08:26:00Z</cp:lastPrinted>
  <dcterms:created xsi:type="dcterms:W3CDTF">2024-11-22T11:35:00Z</dcterms:created>
  <dcterms:modified xsi:type="dcterms:W3CDTF">2025-11-28T10:33:00Z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0x010100B602CA04C262E244AFBF0036DBFC64D300ED98FB921B530D43B514E99E962B2B24</vt:lpwstr>
  </property>
  <property fmtid="{D5CDD505-2E9C-101B-9397-08002B2CF9AE}" pid="3" name="MDIGOwner">
    <vt:lpwstr>22;#Ministère|2ea23bbb-707b-4bb4-b14c-2c11850e1ded</vt:lpwstr>
  </property>
  <property fmtid="{D5CDD505-2E9C-101B-9397-08002B2CF9AE}" pid="4" name="MDIGDocumentType">
    <vt:lpwstr/>
  </property>
  <property fmtid="{D5CDD505-2E9C-101B-9397-08002B2CF9AE}" pid="5" name="MDIGTheme">
    <vt:lpwstr>69;#Inclusion numérique|6817ffbb-7c03-4b0b-b885-1e0e1b1a00aa</vt:lpwstr>
  </property>
</Properties>
</file>