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2A017" w14:textId="286B74E4" w:rsidR="00171849" w:rsidRDefault="003C4A48" w:rsidP="00A429E6">
      <w:pPr>
        <w:pStyle w:val="Subtitle"/>
        <w:spacing w:after="0" w:line="240" w:lineRule="auto"/>
        <w:rPr>
          <w:lang w:val="fr-FR"/>
        </w:rPr>
      </w:pPr>
      <w:bookmarkStart w:id="0" w:name="_GoBack"/>
      <w:bookmarkEnd w:id="0"/>
      <w:r w:rsidRPr="00A54298">
        <w:rPr>
          <w:lang w:val="fr-FR"/>
        </w:rPr>
        <w:t>COMMUNIQUE de PRESSE</w:t>
      </w:r>
    </w:p>
    <w:p w14:paraId="3D700ED1" w14:textId="1CE9C5C0" w:rsidR="00C5686F" w:rsidRPr="00C5686F" w:rsidRDefault="00C5686F" w:rsidP="00C5686F">
      <w:pPr>
        <w:rPr>
          <w:lang w:val="fr-FR"/>
        </w:rPr>
      </w:pPr>
      <w:r>
        <w:rPr>
          <w:lang w:val="fr-FR"/>
        </w:rPr>
        <w:t>22.09.2020</w:t>
      </w:r>
    </w:p>
    <w:p w14:paraId="667C486A" w14:textId="04FC9441" w:rsidR="003B5539" w:rsidRPr="003C4A48" w:rsidRDefault="00C92CB6" w:rsidP="000E119D">
      <w:pPr>
        <w:spacing w:after="0"/>
        <w:rPr>
          <w:rFonts w:eastAsia="Calibri" w:cstheme="majorBidi"/>
          <w:caps/>
          <w:color w:val="E40520"/>
          <w:sz w:val="48"/>
          <w:szCs w:val="72"/>
          <w:lang w:val="fr-FR"/>
        </w:rPr>
      </w:pPr>
      <w:r>
        <w:rPr>
          <w:rFonts w:eastAsia="Calibri" w:cstheme="majorBidi"/>
          <w:caps/>
          <w:color w:val="E40520"/>
          <w:sz w:val="48"/>
          <w:szCs w:val="72"/>
          <w:lang w:val="fr-FR"/>
        </w:rPr>
        <w:t xml:space="preserve">LES </w:t>
      </w:r>
      <w:r w:rsidR="003C4A48" w:rsidRPr="003C4A48">
        <w:rPr>
          <w:rFonts w:eastAsia="Calibri" w:cstheme="majorBidi"/>
          <w:caps/>
          <w:color w:val="E40520"/>
          <w:sz w:val="48"/>
          <w:szCs w:val="72"/>
          <w:lang w:val="fr-FR"/>
        </w:rPr>
        <w:t>d</w:t>
      </w:r>
      <w:r w:rsidR="003C4A48">
        <w:rPr>
          <w:rFonts w:eastAsia="Calibri" w:cstheme="majorBidi"/>
          <w:caps/>
          <w:color w:val="E40520"/>
          <w:sz w:val="48"/>
          <w:szCs w:val="72"/>
          <w:lang w:val="fr-FR"/>
        </w:rPr>
        <w:t>É</w:t>
      </w:r>
      <w:r w:rsidR="003C4A48" w:rsidRPr="003C4A48">
        <w:rPr>
          <w:rFonts w:eastAsia="Calibri" w:cstheme="majorBidi"/>
          <w:caps/>
          <w:color w:val="E40520"/>
          <w:sz w:val="48"/>
          <w:szCs w:val="72"/>
          <w:lang w:val="fr-FR"/>
        </w:rPr>
        <w:t>chets alimentaires au grand-duch</w:t>
      </w:r>
      <w:r w:rsidR="003C4A48">
        <w:rPr>
          <w:rFonts w:eastAsia="Calibri" w:cstheme="majorBidi"/>
          <w:caps/>
          <w:color w:val="E40520"/>
          <w:sz w:val="48"/>
          <w:szCs w:val="72"/>
          <w:lang w:val="fr-FR"/>
        </w:rPr>
        <w:t>É</w:t>
      </w:r>
      <w:r w:rsidR="003C4A48" w:rsidRPr="003C4A48">
        <w:rPr>
          <w:rFonts w:eastAsia="Calibri" w:cstheme="majorBidi"/>
          <w:caps/>
          <w:color w:val="E40520"/>
          <w:sz w:val="48"/>
          <w:szCs w:val="72"/>
          <w:lang w:val="fr-FR"/>
        </w:rPr>
        <w:t xml:space="preserve"> du Luxembourg </w:t>
      </w:r>
      <w:r w:rsidR="003C4A48">
        <w:rPr>
          <w:rFonts w:eastAsia="Calibri" w:cstheme="majorBidi"/>
          <w:caps/>
          <w:color w:val="E40520"/>
          <w:sz w:val="48"/>
          <w:szCs w:val="72"/>
          <w:lang w:val="fr-FR"/>
        </w:rPr>
        <w:t>–</w:t>
      </w:r>
      <w:r w:rsidR="003C4A48" w:rsidRPr="003C4A48">
        <w:rPr>
          <w:rFonts w:eastAsia="Calibri" w:cstheme="majorBidi"/>
          <w:caps/>
          <w:color w:val="E40520"/>
          <w:sz w:val="48"/>
          <w:szCs w:val="72"/>
          <w:lang w:val="fr-FR"/>
        </w:rPr>
        <w:t xml:space="preserve"> r</w:t>
      </w:r>
      <w:r w:rsidR="003C4A48">
        <w:rPr>
          <w:rFonts w:eastAsia="Calibri" w:cstheme="majorBidi"/>
          <w:caps/>
          <w:color w:val="E40520"/>
          <w:sz w:val="48"/>
          <w:szCs w:val="72"/>
          <w:lang w:val="fr-FR"/>
        </w:rPr>
        <w:t xml:space="preserve">Ésultats de l’Étude </w:t>
      </w:r>
      <w:r w:rsidR="008C0B12" w:rsidRPr="003C4A48">
        <w:rPr>
          <w:rFonts w:eastAsia="Calibri" w:cstheme="majorBidi"/>
          <w:caps/>
          <w:color w:val="E40520"/>
          <w:sz w:val="48"/>
          <w:szCs w:val="72"/>
          <w:lang w:val="fr-FR"/>
        </w:rPr>
        <w:t>2018/2019</w:t>
      </w:r>
    </w:p>
    <w:p w14:paraId="25B32C6A" w14:textId="77777777" w:rsidR="008C0B12" w:rsidRPr="003C4A48" w:rsidRDefault="008C0B12" w:rsidP="000E119D">
      <w:pPr>
        <w:spacing w:after="0"/>
        <w:rPr>
          <w:sz w:val="20"/>
          <w:lang w:val="fr-FR"/>
        </w:rPr>
      </w:pPr>
    </w:p>
    <w:p w14:paraId="3AB99500" w14:textId="12A3038A" w:rsidR="00C5686F" w:rsidRDefault="006E01C9" w:rsidP="0013547F">
      <w:pPr>
        <w:rPr>
          <w:lang w:val="fr-FR"/>
        </w:rPr>
      </w:pPr>
      <w:r w:rsidRPr="006E01C9">
        <w:rPr>
          <w:lang w:val="fr-FR"/>
        </w:rPr>
        <w:t xml:space="preserve">Combien d’aliments finissent dans la poubelle au </w:t>
      </w:r>
      <w:r w:rsidR="00E877C2">
        <w:rPr>
          <w:lang w:val="fr-FR"/>
        </w:rPr>
        <w:t>Luxembourg ?</w:t>
      </w:r>
      <w:r w:rsidR="002307D3">
        <w:rPr>
          <w:lang w:val="fr-FR"/>
        </w:rPr>
        <w:t xml:space="preserve"> </w:t>
      </w:r>
      <w:r w:rsidR="007A48EE" w:rsidRPr="007A48EE">
        <w:rPr>
          <w:lang w:val="fr-FR"/>
        </w:rPr>
        <w:t>Pour répondre à cette question, l'</w:t>
      </w:r>
      <w:r w:rsidR="007A48EE">
        <w:rPr>
          <w:lang w:val="fr-FR"/>
        </w:rPr>
        <w:t>A</w:t>
      </w:r>
      <w:r w:rsidR="007A48EE" w:rsidRPr="007A48EE">
        <w:rPr>
          <w:lang w:val="fr-FR"/>
        </w:rPr>
        <w:t xml:space="preserve">dministration </w:t>
      </w:r>
      <w:r w:rsidR="007A48EE">
        <w:rPr>
          <w:lang w:val="fr-FR"/>
        </w:rPr>
        <w:t>de l’</w:t>
      </w:r>
      <w:r w:rsidR="007A48EE" w:rsidRPr="007A48EE">
        <w:rPr>
          <w:lang w:val="fr-FR"/>
        </w:rPr>
        <w:t>environnement</w:t>
      </w:r>
      <w:r w:rsidR="002A2361">
        <w:rPr>
          <w:lang w:val="fr-FR"/>
        </w:rPr>
        <w:t>,</w:t>
      </w:r>
      <w:r w:rsidR="007A48EE" w:rsidRPr="007A48EE">
        <w:rPr>
          <w:lang w:val="fr-FR"/>
        </w:rPr>
        <w:t xml:space="preserve"> </w:t>
      </w:r>
      <w:r w:rsidR="002A2361">
        <w:rPr>
          <w:lang w:val="fr-FR"/>
        </w:rPr>
        <w:t xml:space="preserve">en collaboration avec le bureau d’études Eco-Conseil </w:t>
      </w:r>
      <w:r w:rsidR="00265710">
        <w:rPr>
          <w:lang w:val="fr-FR"/>
        </w:rPr>
        <w:t>SARL</w:t>
      </w:r>
      <w:r w:rsidR="002A2361">
        <w:rPr>
          <w:lang w:val="fr-FR"/>
        </w:rPr>
        <w:t xml:space="preserve">, </w:t>
      </w:r>
      <w:r w:rsidR="007A48EE" w:rsidRPr="007A48EE">
        <w:rPr>
          <w:lang w:val="fr-FR"/>
        </w:rPr>
        <w:t xml:space="preserve">mène </w:t>
      </w:r>
      <w:r w:rsidR="002A2361" w:rsidRPr="007A48EE">
        <w:rPr>
          <w:lang w:val="fr-FR"/>
        </w:rPr>
        <w:t>depuis 201</w:t>
      </w:r>
      <w:r w:rsidR="002A2361">
        <w:rPr>
          <w:lang w:val="fr-FR"/>
        </w:rPr>
        <w:t xml:space="preserve">6 </w:t>
      </w:r>
      <w:r w:rsidR="007A48EE" w:rsidRPr="007A48EE">
        <w:rPr>
          <w:lang w:val="fr-FR"/>
        </w:rPr>
        <w:t>l'étude «</w:t>
      </w:r>
      <w:r w:rsidR="007A48EE">
        <w:rPr>
          <w:lang w:val="fr-FR"/>
        </w:rPr>
        <w:t xml:space="preserve"> </w:t>
      </w:r>
      <w:r w:rsidR="007A48EE" w:rsidRPr="007A48EE">
        <w:rPr>
          <w:lang w:val="fr-FR"/>
        </w:rPr>
        <w:t>Génération, traitement et prévention d</w:t>
      </w:r>
      <w:r w:rsidR="007A48EE">
        <w:rPr>
          <w:lang w:val="fr-FR"/>
        </w:rPr>
        <w:t xml:space="preserve">es déchets alimentaires </w:t>
      </w:r>
      <w:r w:rsidR="007A48EE" w:rsidRPr="007A48EE">
        <w:rPr>
          <w:lang w:val="fr-FR"/>
        </w:rPr>
        <w:t xml:space="preserve">» au Luxembourg. </w:t>
      </w:r>
    </w:p>
    <w:p w14:paraId="10B3B899" w14:textId="71915FEF" w:rsidR="007A48EE" w:rsidRDefault="007A48EE" w:rsidP="0013547F">
      <w:pPr>
        <w:rPr>
          <w:lang w:val="fr-FR"/>
        </w:rPr>
      </w:pPr>
      <w:r w:rsidRPr="007A48EE">
        <w:rPr>
          <w:lang w:val="fr-FR"/>
        </w:rPr>
        <w:t xml:space="preserve">Afin de comprendre exactement quels aliments </w:t>
      </w:r>
      <w:r w:rsidR="00C92CB6">
        <w:rPr>
          <w:lang w:val="fr-FR"/>
        </w:rPr>
        <w:t>se retrouvent dans</w:t>
      </w:r>
      <w:r w:rsidRPr="007A48EE">
        <w:rPr>
          <w:lang w:val="fr-FR"/>
        </w:rPr>
        <w:t xml:space="preserve"> </w:t>
      </w:r>
      <w:r w:rsidR="00C92CB6">
        <w:rPr>
          <w:lang w:val="fr-FR"/>
        </w:rPr>
        <w:t xml:space="preserve">les </w:t>
      </w:r>
      <w:r w:rsidRPr="007A48EE">
        <w:rPr>
          <w:lang w:val="fr-FR"/>
        </w:rPr>
        <w:t>déchets, l'étude a été divisée en 4 zones d'origine: ménages</w:t>
      </w:r>
      <w:r w:rsidR="00265710">
        <w:rPr>
          <w:lang w:val="fr-FR"/>
        </w:rPr>
        <w:t>,</w:t>
      </w:r>
      <w:r w:rsidRPr="007A48EE">
        <w:rPr>
          <w:lang w:val="fr-FR"/>
        </w:rPr>
        <w:t xml:space="preserve"> commerce</w:t>
      </w:r>
      <w:r w:rsidR="00265710">
        <w:rPr>
          <w:lang w:val="fr-FR"/>
        </w:rPr>
        <w:t>,</w:t>
      </w:r>
      <w:r w:rsidRPr="007A48EE">
        <w:rPr>
          <w:lang w:val="fr-FR"/>
        </w:rPr>
        <w:t xml:space="preserve"> </w:t>
      </w:r>
      <w:r>
        <w:rPr>
          <w:lang w:val="fr-FR"/>
        </w:rPr>
        <w:t>restauration collective</w:t>
      </w:r>
      <w:r w:rsidR="00265710">
        <w:rPr>
          <w:lang w:val="fr-FR"/>
        </w:rPr>
        <w:t>,</w:t>
      </w:r>
      <w:r w:rsidRPr="007A48EE">
        <w:rPr>
          <w:lang w:val="fr-FR"/>
        </w:rPr>
        <w:t xml:space="preserve"> gastronomie. Les résultats fournissent des points de départ pour lutter contre le gaspillage alimentaire dans tous ces domaines.</w:t>
      </w:r>
    </w:p>
    <w:p w14:paraId="2AE4D418" w14:textId="543BF371" w:rsidR="00C5686F" w:rsidRDefault="008C0B12" w:rsidP="007457CD">
      <w:pPr>
        <w:rPr>
          <w:lang w:val="de-DE"/>
        </w:rPr>
      </w:pPr>
      <w:r>
        <w:rPr>
          <w:noProof/>
          <w:lang w:val="en-US"/>
        </w:rPr>
        <w:drawing>
          <wp:inline distT="0" distB="0" distL="0" distR="0" wp14:anchorId="768EADE0" wp14:editId="74B3AA9F">
            <wp:extent cx="5943600" cy="2227902"/>
            <wp:effectExtent l="0" t="0" r="0" b="1270"/>
            <wp:docPr id="1" name="Picture 1" descr="C:\Users\UPO678\AppData\Local\Microsoft\Windows\INetCache\Content.Word\liewensmet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PO678\AppData\Local\Microsoft\Windows\INetCache\Content.Word\liewensmettel.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1081" b="28877"/>
                    <a:stretch/>
                  </pic:blipFill>
                  <pic:spPr bwMode="auto">
                    <a:xfrm>
                      <a:off x="0" y="0"/>
                      <a:ext cx="5943600" cy="2227902"/>
                    </a:xfrm>
                    <a:prstGeom prst="rect">
                      <a:avLst/>
                    </a:prstGeom>
                    <a:noFill/>
                    <a:ln>
                      <a:noFill/>
                    </a:ln>
                    <a:extLst>
                      <a:ext uri="{53640926-AAD7-44D8-BBD7-CCE9431645EC}">
                        <a14:shadowObscured xmlns:a14="http://schemas.microsoft.com/office/drawing/2010/main"/>
                      </a:ext>
                    </a:extLst>
                  </pic:spPr>
                </pic:pic>
              </a:graphicData>
            </a:graphic>
          </wp:inline>
        </w:drawing>
      </w:r>
    </w:p>
    <w:p w14:paraId="1D6379F1" w14:textId="0BB17814" w:rsidR="006E01C9" w:rsidRPr="006E01C9" w:rsidRDefault="006E01C9" w:rsidP="006E01C9">
      <w:pPr>
        <w:rPr>
          <w:lang w:val="fr-FR"/>
        </w:rPr>
      </w:pPr>
      <w:r w:rsidRPr="006E01C9">
        <w:rPr>
          <w:lang w:val="fr-FR"/>
        </w:rPr>
        <w:t>En général, pour les déchets alimentaires, une distinction doit être fait</w:t>
      </w:r>
      <w:r w:rsidR="00265710">
        <w:rPr>
          <w:lang w:val="fr-FR"/>
        </w:rPr>
        <w:t>e</w:t>
      </w:r>
      <w:r w:rsidRPr="006E01C9">
        <w:rPr>
          <w:lang w:val="fr-FR"/>
        </w:rPr>
        <w:t xml:space="preserve"> entre</w:t>
      </w:r>
      <w:r w:rsidR="00265710">
        <w:rPr>
          <w:lang w:val="fr-FR"/>
        </w:rPr>
        <w:t xml:space="preserve"> </w:t>
      </w:r>
      <w:r w:rsidRPr="006E01C9">
        <w:rPr>
          <w:lang w:val="fr-FR"/>
        </w:rPr>
        <w:t>:</w:t>
      </w:r>
    </w:p>
    <w:p w14:paraId="5604ABA3" w14:textId="033624E9" w:rsidR="006E01C9" w:rsidRDefault="006E01C9" w:rsidP="006E01C9">
      <w:pPr>
        <w:pStyle w:val="ListParagraph"/>
        <w:numPr>
          <w:ilvl w:val="0"/>
          <w:numId w:val="5"/>
        </w:numPr>
        <w:rPr>
          <w:lang w:val="fr-FR"/>
        </w:rPr>
      </w:pPr>
      <w:r w:rsidRPr="00C92CB6">
        <w:rPr>
          <w:b/>
          <w:lang w:val="fr-FR"/>
        </w:rPr>
        <w:t>les déchets alimentaires évitables</w:t>
      </w:r>
      <w:r w:rsidRPr="006E01C9">
        <w:rPr>
          <w:lang w:val="fr-FR"/>
        </w:rPr>
        <w:t xml:space="preserve"> constitués de restes alimentaires, des aliments en vrac comme le pain, les pâtes, les légumes, les fruits, les saucisses</w:t>
      </w:r>
      <w:r w:rsidR="00C92CB6">
        <w:rPr>
          <w:lang w:val="fr-FR"/>
        </w:rPr>
        <w:t>,</w:t>
      </w:r>
      <w:r w:rsidRPr="006E01C9">
        <w:rPr>
          <w:lang w:val="fr-FR"/>
        </w:rPr>
        <w:t xml:space="preserve"> les produits à base de viande et des aliments emballés ;</w:t>
      </w:r>
    </w:p>
    <w:p w14:paraId="3F5E7152" w14:textId="77777777" w:rsidR="00A54298" w:rsidRPr="00A54298" w:rsidRDefault="006E01C9" w:rsidP="006E01C9">
      <w:pPr>
        <w:pStyle w:val="ListParagraph"/>
        <w:numPr>
          <w:ilvl w:val="0"/>
          <w:numId w:val="5"/>
        </w:numPr>
        <w:rPr>
          <w:szCs w:val="22"/>
          <w:lang w:val="fr-FR"/>
        </w:rPr>
      </w:pPr>
      <w:r w:rsidRPr="00C92CB6">
        <w:rPr>
          <w:b/>
          <w:lang w:val="fr-FR"/>
        </w:rPr>
        <w:t>les déchets alimentaires inévitables</w:t>
      </w:r>
      <w:r w:rsidRPr="006E01C9">
        <w:rPr>
          <w:lang w:val="fr-FR"/>
        </w:rPr>
        <w:t xml:space="preserve"> qui consistent principalement en des résidus de préparation </w:t>
      </w:r>
      <w:r w:rsidRPr="00A54298">
        <w:rPr>
          <w:szCs w:val="22"/>
          <w:lang w:val="fr-FR"/>
        </w:rPr>
        <w:t>tels que des coquilles et des os, donc des aliments qui incluent des éléments non comestibles.</w:t>
      </w:r>
      <w:r w:rsidR="00A54298" w:rsidRPr="00A54298">
        <w:rPr>
          <w:rFonts w:cs="Arial"/>
          <w:b/>
          <w:szCs w:val="22"/>
          <w:lang w:val="fr-FR"/>
        </w:rPr>
        <w:t xml:space="preserve"> </w:t>
      </w:r>
    </w:p>
    <w:p w14:paraId="7DE80755" w14:textId="77777777" w:rsidR="00265710" w:rsidRDefault="00265710" w:rsidP="00A54298">
      <w:pPr>
        <w:jc w:val="both"/>
        <w:rPr>
          <w:rFonts w:cs="Arial"/>
          <w:szCs w:val="22"/>
          <w:lang w:val="fr-FR"/>
        </w:rPr>
      </w:pPr>
    </w:p>
    <w:p w14:paraId="74DB16C9" w14:textId="32583B4F" w:rsidR="007A48EE" w:rsidRDefault="007A48EE" w:rsidP="00A54298">
      <w:pPr>
        <w:jc w:val="both"/>
        <w:rPr>
          <w:rFonts w:cs="Arial"/>
          <w:szCs w:val="22"/>
          <w:lang w:val="fr-FR"/>
        </w:rPr>
      </w:pPr>
      <w:r w:rsidRPr="007A48EE">
        <w:rPr>
          <w:rFonts w:cs="Arial"/>
          <w:szCs w:val="22"/>
          <w:lang w:val="fr-FR"/>
        </w:rPr>
        <w:lastRenderedPageBreak/>
        <w:t>La quantité et la composition des déchets alimentaires au Luxembourg ont été estimées sur la base des données provenant de différentes statistiques sur les déchets, des résultats d'une enquête auprès d’entreprises sélectionnées de la chaîne de distribution et de la chaîne de transformation alimentaire, des résultats de l'analyse des déchets municipaux en mélange de 2018/2019 et d’un certain nombre de données secondaires et tertiaires.</w:t>
      </w:r>
    </w:p>
    <w:p w14:paraId="33B19F63" w14:textId="3231FC5B" w:rsidR="00A54298" w:rsidRDefault="00A54298" w:rsidP="00A54298">
      <w:pPr>
        <w:jc w:val="both"/>
        <w:rPr>
          <w:rFonts w:cs="Arial"/>
          <w:szCs w:val="22"/>
          <w:lang w:val="fr-FR"/>
        </w:rPr>
      </w:pPr>
      <w:r w:rsidRPr="00A54298">
        <w:rPr>
          <w:rFonts w:cs="Arial"/>
          <w:szCs w:val="22"/>
          <w:lang w:val="fr-FR"/>
        </w:rPr>
        <w:t>Pour l’édition 2018/2019, les calculs résultent en un total</w:t>
      </w:r>
      <w:r w:rsidRPr="00A54298">
        <w:rPr>
          <w:rFonts w:cs="Arial"/>
          <w:b/>
          <w:szCs w:val="22"/>
          <w:lang w:val="fr-FR"/>
        </w:rPr>
        <w:t xml:space="preserve"> de 70.800 tonnes de déchets alimentaires</w:t>
      </w:r>
      <w:r w:rsidRPr="00A54298">
        <w:rPr>
          <w:rFonts w:cs="Arial"/>
          <w:szCs w:val="22"/>
          <w:lang w:val="fr-FR"/>
        </w:rPr>
        <w:t xml:space="preserve"> qui sont éliminés chaque année dans la gastronomie, le commerce, la restauration collective et les ménages. </w:t>
      </w:r>
      <w:r w:rsidRPr="00A54298">
        <w:rPr>
          <w:rFonts w:cs="Arial"/>
          <w:b/>
          <w:szCs w:val="22"/>
          <w:lang w:val="fr-FR"/>
        </w:rPr>
        <w:t>En moyenne, chaque citoyen jette 118 kg de nourriture par an</w:t>
      </w:r>
      <w:r w:rsidRPr="00A54298">
        <w:rPr>
          <w:rFonts w:cs="Arial"/>
          <w:szCs w:val="22"/>
          <w:lang w:val="fr-FR"/>
        </w:rPr>
        <w:t xml:space="preserve">, dont environ 48 kg seraient évitables. Par consommateur et par jour, ce sont 324 grammes d’aliments qui finissent à la poubelle. </w:t>
      </w:r>
    </w:p>
    <w:p w14:paraId="5F458919" w14:textId="27458213" w:rsidR="00A54298" w:rsidRPr="00B60188" w:rsidRDefault="00DF614E" w:rsidP="00A54298">
      <w:pPr>
        <w:jc w:val="both"/>
        <w:rPr>
          <w:rFonts w:cs="Arial"/>
          <w:szCs w:val="24"/>
          <w:lang w:val="fr-FR"/>
        </w:rPr>
      </w:pPr>
      <w:r>
        <w:rPr>
          <w:rFonts w:cs="Arial"/>
          <w:szCs w:val="24"/>
          <w:lang w:val="fr-FR"/>
        </w:rPr>
        <w:t>L’étude montre que la quantité totale</w:t>
      </w:r>
      <w:r w:rsidR="00A54298" w:rsidRPr="00A54298">
        <w:rPr>
          <w:rFonts w:cs="Arial"/>
          <w:szCs w:val="24"/>
          <w:lang w:val="fr-FR"/>
        </w:rPr>
        <w:t xml:space="preserve"> de déchets alimentaires</w:t>
      </w:r>
      <w:r w:rsidR="00265710">
        <w:rPr>
          <w:rFonts w:cs="Arial"/>
          <w:szCs w:val="24"/>
          <w:lang w:val="fr-FR"/>
        </w:rPr>
        <w:t>,</w:t>
      </w:r>
      <w:r w:rsidR="00A54298" w:rsidRPr="00A54298">
        <w:rPr>
          <w:rFonts w:cs="Arial"/>
          <w:szCs w:val="24"/>
          <w:lang w:val="fr-FR"/>
        </w:rPr>
        <w:t xml:space="preserve"> tous secteurs confondus</w:t>
      </w:r>
      <w:r w:rsidR="00265710">
        <w:rPr>
          <w:rFonts w:cs="Arial"/>
          <w:szCs w:val="24"/>
          <w:lang w:val="fr-FR"/>
        </w:rPr>
        <w:t>,</w:t>
      </w:r>
      <w:r w:rsidR="00A54298" w:rsidRPr="00A54298">
        <w:rPr>
          <w:rFonts w:cs="Arial"/>
          <w:szCs w:val="24"/>
          <w:lang w:val="fr-FR"/>
        </w:rPr>
        <w:t xml:space="preserve"> a augmenté d’environ </w:t>
      </w:r>
      <w:r>
        <w:rPr>
          <w:rFonts w:cs="Arial"/>
          <w:szCs w:val="24"/>
          <w:lang w:val="fr-FR"/>
        </w:rPr>
        <w:t xml:space="preserve">4,8 </w:t>
      </w:r>
      <w:r w:rsidR="00A54298">
        <w:rPr>
          <w:rFonts w:cs="Arial"/>
          <w:szCs w:val="24"/>
          <w:lang w:val="fr-FR"/>
        </w:rPr>
        <w:t>%</w:t>
      </w:r>
      <w:r w:rsidR="00A54298" w:rsidRPr="00A54298">
        <w:rPr>
          <w:rFonts w:cs="Arial"/>
          <w:szCs w:val="24"/>
          <w:lang w:val="fr-FR"/>
        </w:rPr>
        <w:t xml:space="preserve"> par rapport </w:t>
      </w:r>
      <w:r w:rsidR="00A54298">
        <w:rPr>
          <w:rFonts w:cs="Arial"/>
          <w:szCs w:val="24"/>
          <w:lang w:val="fr-FR"/>
        </w:rPr>
        <w:t>à 2016</w:t>
      </w:r>
      <w:r>
        <w:rPr>
          <w:rFonts w:cs="Arial"/>
          <w:szCs w:val="24"/>
          <w:lang w:val="fr-FR"/>
        </w:rPr>
        <w:t xml:space="preserve"> mais que</w:t>
      </w:r>
      <w:r w:rsidR="00A54298" w:rsidRPr="00A54298">
        <w:rPr>
          <w:rFonts w:cs="Arial"/>
          <w:szCs w:val="24"/>
          <w:lang w:val="fr-FR"/>
        </w:rPr>
        <w:t xml:space="preserve"> la quantité par habitant a diminué de 3,8</w:t>
      </w:r>
      <w:r w:rsidR="00A54298">
        <w:rPr>
          <w:rFonts w:cs="Arial"/>
          <w:szCs w:val="24"/>
          <w:lang w:val="fr-FR"/>
        </w:rPr>
        <w:t>%.</w:t>
      </w:r>
      <w:r w:rsidR="00A54298" w:rsidRPr="00A54298">
        <w:rPr>
          <w:rFonts w:cs="Arial"/>
          <w:szCs w:val="24"/>
          <w:lang w:val="fr-FR"/>
        </w:rPr>
        <w:t xml:space="preserve"> </w:t>
      </w:r>
    </w:p>
    <w:p w14:paraId="39A7F0BD" w14:textId="0328A437" w:rsidR="0016722D" w:rsidRPr="00A54298" w:rsidRDefault="00A54298" w:rsidP="0016722D">
      <w:pPr>
        <w:pStyle w:val="Heading2"/>
      </w:pPr>
      <w:r>
        <w:t>MÉnages</w:t>
      </w:r>
    </w:p>
    <w:p w14:paraId="4D88D7CF" w14:textId="773C69C8" w:rsidR="00A54298" w:rsidRPr="00A54298" w:rsidRDefault="00A54298" w:rsidP="00A54298">
      <w:pPr>
        <w:jc w:val="both"/>
        <w:rPr>
          <w:rFonts w:cs="Arial"/>
          <w:szCs w:val="22"/>
          <w:lang w:val="fr-FR"/>
        </w:rPr>
      </w:pPr>
      <w:r w:rsidRPr="00A54298">
        <w:rPr>
          <w:rFonts w:cs="Arial"/>
          <w:szCs w:val="22"/>
          <w:lang w:val="fr-FR"/>
        </w:rPr>
        <w:t xml:space="preserve">La majorité des déchets alimentaires </w:t>
      </w:r>
      <w:r w:rsidR="00C92CB6">
        <w:rPr>
          <w:rFonts w:cs="Arial"/>
          <w:szCs w:val="22"/>
          <w:lang w:val="fr-FR"/>
        </w:rPr>
        <w:t>est produite</w:t>
      </w:r>
      <w:r w:rsidRPr="00A54298">
        <w:rPr>
          <w:rFonts w:cs="Arial"/>
          <w:szCs w:val="22"/>
          <w:lang w:val="fr-FR"/>
        </w:rPr>
        <w:t xml:space="preserve"> dans les </w:t>
      </w:r>
      <w:r w:rsidRPr="00A54298">
        <w:rPr>
          <w:rFonts w:cs="Arial"/>
          <w:b/>
          <w:szCs w:val="22"/>
          <w:lang w:val="fr-FR"/>
        </w:rPr>
        <w:t>ménages</w:t>
      </w:r>
      <w:r w:rsidRPr="00A54298">
        <w:rPr>
          <w:rFonts w:cs="Arial"/>
          <w:szCs w:val="22"/>
          <w:lang w:val="fr-FR"/>
        </w:rPr>
        <w:t xml:space="preserve"> : Au Luxembourg, </w:t>
      </w:r>
      <w:r w:rsidRPr="00A54298">
        <w:rPr>
          <w:rFonts w:cs="Arial"/>
          <w:b/>
          <w:szCs w:val="22"/>
          <w:lang w:val="fr-FR"/>
        </w:rPr>
        <w:t>53.270 tonnes de nourriture</w:t>
      </w:r>
      <w:r w:rsidRPr="00A54298">
        <w:rPr>
          <w:rFonts w:cs="Arial"/>
          <w:szCs w:val="22"/>
          <w:lang w:val="fr-FR"/>
        </w:rPr>
        <w:t xml:space="preserve"> sont éliminées chaque année avec les déchets municipaux en mélange</w:t>
      </w:r>
      <w:r w:rsidR="00544C83">
        <w:rPr>
          <w:rFonts w:cs="Arial"/>
          <w:szCs w:val="22"/>
          <w:lang w:val="fr-FR"/>
        </w:rPr>
        <w:t xml:space="preserve">, </w:t>
      </w:r>
      <w:r w:rsidRPr="00A54298">
        <w:rPr>
          <w:rFonts w:cs="Arial"/>
          <w:szCs w:val="22"/>
          <w:lang w:val="fr-FR"/>
        </w:rPr>
        <w:t>la biopoubelle et le compost, soit environ 88,5 kg par habitant et par an. Pour les 602.000 habitants du Luxembourg (état 2018), cela représente environ 75 pour cent du total des déchets alimentaires. La proportion évitable est estimée à 14.200 tonnes, soit 23,5 kg par habitant et par an</w:t>
      </w:r>
      <w:r w:rsidR="002B2C01">
        <w:rPr>
          <w:rFonts w:cs="Arial"/>
          <w:szCs w:val="22"/>
          <w:lang w:val="fr-FR"/>
        </w:rPr>
        <w:t xml:space="preserve"> (-31%).</w:t>
      </w:r>
    </w:p>
    <w:p w14:paraId="0F200AFD" w14:textId="309BD85D" w:rsidR="00544C83" w:rsidRDefault="002B2C01" w:rsidP="00A54298">
      <w:pPr>
        <w:jc w:val="both"/>
        <w:rPr>
          <w:rFonts w:cs="Arial"/>
          <w:szCs w:val="22"/>
          <w:lang w:val="fr-FR"/>
        </w:rPr>
      </w:pPr>
      <w:r w:rsidRPr="002B2C01">
        <w:rPr>
          <w:rFonts w:cs="Arial"/>
          <w:szCs w:val="22"/>
          <w:lang w:val="fr-FR"/>
        </w:rPr>
        <w:t>L'analyse des déchets ménagers en mélange de 2019</w:t>
      </w:r>
      <w:r w:rsidR="00544C83">
        <w:rPr>
          <w:rStyle w:val="FootnoteReference"/>
          <w:rFonts w:cs="Arial"/>
          <w:szCs w:val="22"/>
          <w:lang w:val="fr-FR"/>
        </w:rPr>
        <w:footnoteReference w:id="1"/>
      </w:r>
      <w:r w:rsidRPr="002B2C01">
        <w:rPr>
          <w:rFonts w:cs="Arial"/>
          <w:szCs w:val="22"/>
          <w:lang w:val="fr-FR"/>
        </w:rPr>
        <w:t xml:space="preserve"> a montré que la proportion de biodéchets est encore très élevée (jusqu'à 30% des déchets ménagers en mélange). Afin de mieux connaître, les biodéchets ont été triés et une distinction a été faite entre « déchets alimentaires évitables » et « déchets alimentaires inévitables ». Les déchets alimentaires évitables de l'analyse des déchets ménagers en mélange réalisée en 2019 se compose comme suit</w:t>
      </w:r>
      <w:r w:rsidR="00265710">
        <w:rPr>
          <w:rFonts w:cs="Arial"/>
          <w:szCs w:val="22"/>
          <w:lang w:val="fr-FR"/>
        </w:rPr>
        <w:t xml:space="preserve"> </w:t>
      </w:r>
      <w:r w:rsidRPr="002B2C01">
        <w:rPr>
          <w:rFonts w:cs="Arial"/>
          <w:szCs w:val="22"/>
          <w:lang w:val="fr-FR"/>
        </w:rPr>
        <w:t>:</w:t>
      </w:r>
    </w:p>
    <w:p w14:paraId="603E46D1" w14:textId="5F2E5281" w:rsidR="002B2C01" w:rsidRDefault="00526086" w:rsidP="00A54298">
      <w:pPr>
        <w:jc w:val="both"/>
        <w:rPr>
          <w:rFonts w:cs="Arial"/>
          <w:szCs w:val="22"/>
          <w:lang w:val="fr-FR"/>
        </w:rPr>
      </w:pPr>
      <w:r>
        <w:rPr>
          <w:rFonts w:cs="Arial"/>
          <w:szCs w:val="22"/>
          <w:lang w:val="fr-FR"/>
        </w:rPr>
        <w:lastRenderedPageBreak/>
        <w:br/>
      </w:r>
      <w:r w:rsidR="00C92CB6">
        <w:rPr>
          <w:noProof/>
          <w:lang w:val="en-US"/>
        </w:rPr>
        <w:drawing>
          <wp:inline distT="0" distB="0" distL="0" distR="0" wp14:anchorId="55F761B3" wp14:editId="660A6F42">
            <wp:extent cx="5372100" cy="3198495"/>
            <wp:effectExtent l="0" t="0" r="0" b="19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1355E5" w14:textId="099A2998" w:rsidR="00544C83" w:rsidRPr="00544C83" w:rsidRDefault="00544C83" w:rsidP="00544C83">
      <w:pPr>
        <w:jc w:val="both"/>
        <w:rPr>
          <w:rFonts w:cs="Arial"/>
          <w:b/>
          <w:szCs w:val="22"/>
          <w:lang w:val="fr-FR"/>
        </w:rPr>
      </w:pPr>
      <w:r w:rsidRPr="00A54298">
        <w:rPr>
          <w:rFonts w:cs="Arial"/>
          <w:b/>
          <w:szCs w:val="22"/>
          <w:lang w:val="fr-FR"/>
        </w:rPr>
        <w:t>En termes monétaires</w:t>
      </w:r>
      <w:r w:rsidRPr="00A54298">
        <w:rPr>
          <w:rFonts w:cs="Arial"/>
          <w:szCs w:val="22"/>
          <w:lang w:val="fr-FR"/>
        </w:rPr>
        <w:t xml:space="preserve">, les déchets alimentaires évitables éliminés et tant que déchets municipaux en mélange sont estimés à </w:t>
      </w:r>
      <w:r w:rsidRPr="00A54298">
        <w:rPr>
          <w:rFonts w:cs="Arial"/>
          <w:b/>
          <w:szCs w:val="22"/>
          <w:lang w:val="fr-FR"/>
        </w:rPr>
        <w:t>75,5 euros par habitant</w:t>
      </w:r>
      <w:r w:rsidRPr="00A54298">
        <w:rPr>
          <w:rFonts w:cs="Arial"/>
          <w:szCs w:val="22"/>
          <w:lang w:val="fr-FR"/>
        </w:rPr>
        <w:t xml:space="preserve"> </w:t>
      </w:r>
      <w:r w:rsidRPr="00A54298">
        <w:rPr>
          <w:rFonts w:cs="Arial"/>
          <w:b/>
          <w:szCs w:val="22"/>
          <w:lang w:val="fr-FR"/>
        </w:rPr>
        <w:t>et par an, soit 46,5 millions d’euros par an pour l’ensemble du pays.</w:t>
      </w:r>
    </w:p>
    <w:p w14:paraId="4AD73756" w14:textId="2476BBE7" w:rsidR="00B56F85" w:rsidRPr="007776FD" w:rsidRDefault="00A54298" w:rsidP="00B56F85">
      <w:pPr>
        <w:pStyle w:val="Heading2"/>
      </w:pPr>
      <w:r w:rsidRPr="007776FD">
        <w:t>GASTRONOMIE</w:t>
      </w:r>
    </w:p>
    <w:p w14:paraId="4E433166" w14:textId="65C829DF" w:rsidR="00A54298" w:rsidRPr="00A54298" w:rsidRDefault="00A54298" w:rsidP="00A54298">
      <w:pPr>
        <w:jc w:val="both"/>
        <w:rPr>
          <w:rFonts w:cs="Arial"/>
          <w:szCs w:val="24"/>
          <w:lang w:val="fr-FR"/>
        </w:rPr>
      </w:pPr>
      <w:r w:rsidRPr="00A54298">
        <w:rPr>
          <w:rFonts w:cs="Arial"/>
          <w:szCs w:val="24"/>
          <w:lang w:val="fr-FR"/>
        </w:rPr>
        <w:t xml:space="preserve">La quantité de déchets alimentaires produite dans la </w:t>
      </w:r>
      <w:r w:rsidRPr="00A54298">
        <w:rPr>
          <w:rFonts w:cs="Arial"/>
          <w:b/>
          <w:szCs w:val="24"/>
          <w:lang w:val="fr-FR"/>
        </w:rPr>
        <w:t>gastronomie</w:t>
      </w:r>
      <w:r w:rsidRPr="00A54298">
        <w:rPr>
          <w:rFonts w:cs="Arial"/>
          <w:szCs w:val="24"/>
          <w:lang w:val="fr-FR"/>
        </w:rPr>
        <w:t xml:space="preserve"> – restaurants et hôtels –</w:t>
      </w:r>
      <w:r w:rsidR="00265710">
        <w:rPr>
          <w:rFonts w:cs="Arial"/>
          <w:szCs w:val="24"/>
          <w:lang w:val="fr-FR"/>
        </w:rPr>
        <w:t>,</w:t>
      </w:r>
      <w:r w:rsidRPr="00A54298">
        <w:rPr>
          <w:rFonts w:cs="Arial"/>
          <w:szCs w:val="24"/>
          <w:lang w:val="fr-FR"/>
        </w:rPr>
        <w:t xml:space="preserve"> est d’environ </w:t>
      </w:r>
      <w:r w:rsidRPr="00A54298">
        <w:rPr>
          <w:rFonts w:cs="Arial"/>
          <w:b/>
          <w:szCs w:val="24"/>
          <w:lang w:val="fr-FR"/>
        </w:rPr>
        <w:t>5.</w:t>
      </w:r>
      <w:r w:rsidR="007B70D5">
        <w:rPr>
          <w:rFonts w:cs="Arial"/>
          <w:b/>
          <w:szCs w:val="24"/>
          <w:lang w:val="fr-FR"/>
        </w:rPr>
        <w:t>250</w:t>
      </w:r>
      <w:r w:rsidR="007B70D5" w:rsidRPr="00A54298">
        <w:rPr>
          <w:rFonts w:cs="Arial"/>
          <w:b/>
          <w:szCs w:val="24"/>
          <w:lang w:val="fr-FR"/>
        </w:rPr>
        <w:t xml:space="preserve"> </w:t>
      </w:r>
      <w:r w:rsidRPr="00A54298">
        <w:rPr>
          <w:rFonts w:cs="Arial"/>
          <w:b/>
          <w:szCs w:val="24"/>
          <w:lang w:val="fr-FR"/>
        </w:rPr>
        <w:t>tonnes</w:t>
      </w:r>
      <w:r w:rsidRPr="00A54298">
        <w:rPr>
          <w:rFonts w:cs="Arial"/>
          <w:szCs w:val="24"/>
          <w:lang w:val="fr-FR"/>
        </w:rPr>
        <w:t xml:space="preserve"> </w:t>
      </w:r>
      <w:r w:rsidRPr="00A54298">
        <w:rPr>
          <w:rFonts w:cs="Arial"/>
          <w:b/>
          <w:szCs w:val="24"/>
          <w:lang w:val="fr-FR"/>
        </w:rPr>
        <w:t>par an</w:t>
      </w:r>
      <w:r w:rsidRPr="00A54298">
        <w:rPr>
          <w:rFonts w:cs="Arial"/>
          <w:szCs w:val="24"/>
          <w:lang w:val="fr-FR"/>
        </w:rPr>
        <w:t xml:space="preserve"> et 8,9 kg par habitant et par an. Il s’agit principalement de restes de repas et de repas excédentaires. Des restes de préparation et des pertes de stockage ont également été répertoriés. </w:t>
      </w:r>
    </w:p>
    <w:p w14:paraId="389A5659" w14:textId="0D53BD72" w:rsidR="00B56F85" w:rsidRPr="00A54298" w:rsidRDefault="00A54298" w:rsidP="00A54298">
      <w:pPr>
        <w:jc w:val="both"/>
        <w:rPr>
          <w:rFonts w:cs="Arial"/>
          <w:szCs w:val="24"/>
          <w:lang w:val="fr-FR"/>
        </w:rPr>
      </w:pPr>
      <w:r w:rsidRPr="00A54298">
        <w:rPr>
          <w:rFonts w:cs="Arial"/>
          <w:szCs w:val="24"/>
          <w:lang w:val="fr-FR"/>
        </w:rPr>
        <w:t>Environ 80% de ces déchets pourraient être évités</w:t>
      </w:r>
      <w:r w:rsidR="007B70D5">
        <w:rPr>
          <w:rFonts w:cs="Arial"/>
          <w:szCs w:val="24"/>
          <w:lang w:val="fr-FR"/>
        </w:rPr>
        <w:t>, ce qui revient à 7,1 kg par habitant et par an</w:t>
      </w:r>
      <w:r w:rsidRPr="00A54298">
        <w:rPr>
          <w:rFonts w:cs="Arial"/>
          <w:szCs w:val="24"/>
          <w:lang w:val="fr-FR"/>
        </w:rPr>
        <w:t>.</w:t>
      </w:r>
    </w:p>
    <w:p w14:paraId="13EF772A" w14:textId="18673F1A" w:rsidR="00B56F85" w:rsidRPr="007776FD" w:rsidRDefault="00A54298" w:rsidP="00B56F85">
      <w:pPr>
        <w:pStyle w:val="Heading2"/>
      </w:pPr>
      <w:r w:rsidRPr="007776FD">
        <w:t>restauration collective</w:t>
      </w:r>
    </w:p>
    <w:p w14:paraId="14AF40E7" w14:textId="4AFB31CB" w:rsidR="007B70D5" w:rsidRPr="007B70D5" w:rsidRDefault="00A54298" w:rsidP="007B70D5">
      <w:pPr>
        <w:jc w:val="both"/>
        <w:rPr>
          <w:rFonts w:cs="Arial"/>
          <w:szCs w:val="22"/>
          <w:lang w:val="fr-FR"/>
        </w:rPr>
      </w:pPr>
      <w:r w:rsidRPr="00A54298">
        <w:rPr>
          <w:rFonts w:cs="Arial"/>
          <w:szCs w:val="22"/>
          <w:lang w:val="fr-FR"/>
        </w:rPr>
        <w:t xml:space="preserve">Dans le domaine de la </w:t>
      </w:r>
      <w:r w:rsidRPr="00A54298">
        <w:rPr>
          <w:rFonts w:cs="Arial"/>
          <w:b/>
          <w:szCs w:val="22"/>
          <w:lang w:val="fr-FR"/>
        </w:rPr>
        <w:t>restauration collective</w:t>
      </w:r>
      <w:r w:rsidRPr="00A54298">
        <w:rPr>
          <w:rFonts w:cs="Arial"/>
          <w:szCs w:val="22"/>
          <w:lang w:val="fr-FR"/>
        </w:rPr>
        <w:t xml:space="preserve"> – telles que les écoles, les garderies, les hôpitaux, les maisons de retraite –</w:t>
      </w:r>
      <w:r w:rsidR="00265710">
        <w:rPr>
          <w:rFonts w:cs="Arial"/>
          <w:szCs w:val="22"/>
          <w:lang w:val="fr-FR"/>
        </w:rPr>
        <w:t>,</w:t>
      </w:r>
      <w:r w:rsidRPr="00A54298">
        <w:rPr>
          <w:rFonts w:cs="Arial"/>
          <w:szCs w:val="22"/>
          <w:lang w:val="fr-FR"/>
        </w:rPr>
        <w:t xml:space="preserve"> la projection se traduit par une moyenne de </w:t>
      </w:r>
      <w:r w:rsidRPr="00A54298">
        <w:rPr>
          <w:rFonts w:cs="Arial"/>
          <w:b/>
          <w:szCs w:val="22"/>
          <w:lang w:val="fr-FR"/>
        </w:rPr>
        <w:t>7.100 tonnes par an</w:t>
      </w:r>
      <w:r w:rsidRPr="00A54298">
        <w:rPr>
          <w:rFonts w:cs="Arial"/>
          <w:szCs w:val="22"/>
          <w:lang w:val="fr-FR"/>
        </w:rPr>
        <w:t xml:space="preserve">, soit 12 kg par habitant et par an. </w:t>
      </w:r>
      <w:r w:rsidR="007B70D5" w:rsidRPr="007B70D5">
        <w:rPr>
          <w:rFonts w:cs="Arial"/>
          <w:szCs w:val="22"/>
          <w:lang w:val="fr-FR"/>
        </w:rPr>
        <w:t>Environ 9,6 kg de ce par habitant et par an pourraient être évités.</w:t>
      </w:r>
    </w:p>
    <w:p w14:paraId="31F65ACB" w14:textId="13CC6D2F" w:rsidR="00B56F85" w:rsidRDefault="007B70D5" w:rsidP="00BC336F">
      <w:pPr>
        <w:jc w:val="both"/>
        <w:rPr>
          <w:rFonts w:cs="Arial"/>
          <w:szCs w:val="22"/>
          <w:lang w:val="fr-FR"/>
        </w:rPr>
      </w:pPr>
      <w:r w:rsidRPr="007B70D5">
        <w:rPr>
          <w:rFonts w:cs="Arial"/>
          <w:szCs w:val="22"/>
          <w:lang w:val="fr-FR"/>
        </w:rPr>
        <w:t>Ces nouveaux chiffres correspondent à une diminution</w:t>
      </w:r>
      <w:r>
        <w:rPr>
          <w:rFonts w:cs="Arial"/>
          <w:szCs w:val="22"/>
          <w:lang w:val="fr-FR"/>
        </w:rPr>
        <w:t xml:space="preserve"> du gaspillage alimentaire </w:t>
      </w:r>
      <w:r w:rsidRPr="007B70D5">
        <w:rPr>
          <w:rFonts w:cs="Arial"/>
          <w:szCs w:val="22"/>
          <w:lang w:val="fr-FR"/>
        </w:rPr>
        <w:t xml:space="preserve">d'environ 8%. Selon les </w:t>
      </w:r>
      <w:r>
        <w:rPr>
          <w:rFonts w:cs="Arial"/>
          <w:szCs w:val="22"/>
          <w:lang w:val="fr-FR"/>
        </w:rPr>
        <w:t>informations issues des enquêtes</w:t>
      </w:r>
      <w:r w:rsidRPr="007B70D5">
        <w:rPr>
          <w:rFonts w:cs="Arial"/>
          <w:szCs w:val="22"/>
          <w:lang w:val="fr-FR"/>
        </w:rPr>
        <w:t>, cette baisse est due à une prise de conscience accrue du thème du gaspillage alimentaire et à une multiplication des initiatives dans ce domaine.</w:t>
      </w:r>
    </w:p>
    <w:p w14:paraId="5305E8E6" w14:textId="4BF1E301" w:rsidR="00B56F85" w:rsidRPr="00B60188" w:rsidRDefault="00A54298" w:rsidP="00B56F85">
      <w:pPr>
        <w:pStyle w:val="Heading2"/>
      </w:pPr>
      <w:r w:rsidRPr="00B60188">
        <w:lastRenderedPageBreak/>
        <w:t>COMMERCE</w:t>
      </w:r>
    </w:p>
    <w:p w14:paraId="7148BCF6" w14:textId="50C140BC" w:rsidR="00BC336F" w:rsidRPr="00450054" w:rsidRDefault="00B60188" w:rsidP="00450054">
      <w:pPr>
        <w:autoSpaceDE w:val="0"/>
        <w:autoSpaceDN w:val="0"/>
        <w:adjustRightInd w:val="0"/>
        <w:spacing w:after="120"/>
        <w:jc w:val="both"/>
        <w:rPr>
          <w:rFonts w:asciiTheme="majorHAnsi" w:hAnsiTheme="majorHAnsi" w:cs="Calibri"/>
          <w:lang w:val="fr-FR"/>
        </w:rPr>
      </w:pPr>
      <w:r w:rsidRPr="00B60188">
        <w:rPr>
          <w:rFonts w:asciiTheme="majorHAnsi" w:hAnsiTheme="majorHAnsi" w:cs="Calibri"/>
          <w:lang w:val="fr-FR"/>
        </w:rPr>
        <w:t xml:space="preserve">Environ </w:t>
      </w:r>
      <w:r w:rsidRPr="00B60188">
        <w:rPr>
          <w:rFonts w:asciiTheme="majorHAnsi" w:hAnsiTheme="majorHAnsi" w:cs="Calibri"/>
          <w:b/>
          <w:lang w:val="fr-FR"/>
        </w:rPr>
        <w:t>5.150 tonnes de déchets alimentaires sont générées chaque année dans le commerce</w:t>
      </w:r>
      <w:r w:rsidRPr="00B60188">
        <w:rPr>
          <w:rFonts w:asciiTheme="majorHAnsi" w:hAnsiTheme="majorHAnsi" w:cs="Calibri"/>
          <w:lang w:val="fr-FR"/>
        </w:rPr>
        <w:t xml:space="preserve"> (sans compter les dons alimentaires). Cela correspond à 8,7 kg par habitant et par an. </w:t>
      </w:r>
      <w:r w:rsidR="002A2361" w:rsidRPr="00B60188">
        <w:rPr>
          <w:rFonts w:asciiTheme="majorHAnsi" w:hAnsiTheme="majorHAnsi" w:cs="Calibri"/>
          <w:lang w:val="fr-FR"/>
        </w:rPr>
        <w:t xml:space="preserve">Environ </w:t>
      </w:r>
      <w:r w:rsidR="002A2361">
        <w:rPr>
          <w:rFonts w:asciiTheme="majorHAnsi" w:hAnsiTheme="majorHAnsi" w:cs="Calibri"/>
          <w:lang w:val="fr-FR"/>
        </w:rPr>
        <w:t>7,85 kg par habitant et par</w:t>
      </w:r>
      <w:r w:rsidR="002A2361" w:rsidRPr="00B60188">
        <w:rPr>
          <w:rFonts w:asciiTheme="majorHAnsi" w:hAnsiTheme="majorHAnsi" w:cs="Calibri"/>
          <w:lang w:val="fr-FR"/>
        </w:rPr>
        <w:t xml:space="preserve"> </w:t>
      </w:r>
      <w:r w:rsidR="00D9367F">
        <w:rPr>
          <w:rFonts w:asciiTheme="majorHAnsi" w:hAnsiTheme="majorHAnsi" w:cs="Calibri"/>
          <w:lang w:val="fr-FR"/>
        </w:rPr>
        <w:t xml:space="preserve">XXX </w:t>
      </w:r>
      <w:r w:rsidR="002A2361" w:rsidRPr="00B60188">
        <w:rPr>
          <w:rFonts w:asciiTheme="majorHAnsi" w:hAnsiTheme="majorHAnsi" w:cs="Calibri"/>
          <w:lang w:val="fr-FR"/>
        </w:rPr>
        <w:t>seraient évitables</w:t>
      </w:r>
      <w:r w:rsidR="002A2361">
        <w:rPr>
          <w:rFonts w:asciiTheme="majorHAnsi" w:hAnsiTheme="majorHAnsi" w:cs="Calibri"/>
          <w:lang w:val="fr-FR"/>
        </w:rPr>
        <w:t>.</w:t>
      </w:r>
      <w:r w:rsidR="002A2361" w:rsidRPr="00B60188">
        <w:rPr>
          <w:rFonts w:asciiTheme="majorHAnsi" w:hAnsiTheme="majorHAnsi" w:cs="Calibri"/>
          <w:lang w:val="fr-FR"/>
        </w:rPr>
        <w:t xml:space="preserve"> </w:t>
      </w:r>
      <w:r w:rsidRPr="00B60188">
        <w:rPr>
          <w:rFonts w:asciiTheme="majorHAnsi" w:hAnsiTheme="majorHAnsi" w:cs="Calibri"/>
          <w:lang w:val="fr-FR"/>
        </w:rPr>
        <w:t>Dans le commerce, les déchets alimentaires sont surtout des produits classés comme non susceptibles d’être vendus. Il peut s’agir aussi bien de produits qui ne sont plus comestib</w:t>
      </w:r>
      <w:r w:rsidR="00E42610">
        <w:rPr>
          <w:rFonts w:asciiTheme="majorHAnsi" w:hAnsiTheme="majorHAnsi" w:cs="Calibri"/>
          <w:lang w:val="fr-FR"/>
        </w:rPr>
        <w:t>les pour des raisons objectives</w:t>
      </w:r>
      <w:r w:rsidRPr="00B60188">
        <w:rPr>
          <w:rFonts w:asciiTheme="majorHAnsi" w:hAnsiTheme="majorHAnsi" w:cs="Calibri"/>
          <w:lang w:val="fr-FR"/>
        </w:rPr>
        <w:t xml:space="preserve"> ou qui ne peuvent plus être vendus (expiration de la date de consommation) que des produits qui sont rejetés pour d'autres raisons (par exemple, des lignes directrices de qualité subjectives internes). </w:t>
      </w:r>
    </w:p>
    <w:p w14:paraId="739DAA12" w14:textId="5DF0931E" w:rsidR="00B56F85" w:rsidRPr="00B60188" w:rsidRDefault="00B60188" w:rsidP="00B60188">
      <w:pPr>
        <w:pStyle w:val="Heading2"/>
      </w:pPr>
      <w:r w:rsidRPr="00B60188">
        <w:t>COMPARAISON des résultats de 2016 et de 2019</w:t>
      </w:r>
    </w:p>
    <w:tbl>
      <w:tblPr>
        <w:tblW w:w="9351" w:type="dxa"/>
        <w:tblLayout w:type="fixed"/>
        <w:tblLook w:val="04A0" w:firstRow="1" w:lastRow="0" w:firstColumn="1" w:lastColumn="0" w:noHBand="0" w:noVBand="1"/>
      </w:tblPr>
      <w:tblGrid>
        <w:gridCol w:w="1980"/>
        <w:gridCol w:w="2410"/>
        <w:gridCol w:w="2126"/>
        <w:gridCol w:w="2835"/>
      </w:tblGrid>
      <w:tr w:rsidR="00B56F85" w:rsidRPr="00A54298" w14:paraId="3EE18F1E" w14:textId="77777777" w:rsidTr="00047732">
        <w:tc>
          <w:tcPr>
            <w:tcW w:w="1980" w:type="dxa"/>
            <w:tcBorders>
              <w:top w:val="single" w:sz="4" w:space="0" w:color="auto"/>
              <w:left w:val="single" w:sz="4" w:space="0" w:color="auto"/>
              <w:right w:val="single" w:sz="4" w:space="0" w:color="auto"/>
            </w:tcBorders>
            <w:shd w:val="clear" w:color="auto" w:fill="BFBFBF"/>
          </w:tcPr>
          <w:p w14:paraId="56384729" w14:textId="480EC2D7" w:rsidR="00D77678" w:rsidRPr="00B60188" w:rsidRDefault="00D77678" w:rsidP="00047732">
            <w:pPr>
              <w:autoSpaceDE w:val="0"/>
              <w:autoSpaceDN w:val="0"/>
              <w:adjustRightInd w:val="0"/>
              <w:spacing w:after="0" w:line="240" w:lineRule="auto"/>
              <w:rPr>
                <w:rFonts w:ascii="Calibri" w:eastAsia="Calibri" w:hAnsi="Calibri" w:cs="Calibri"/>
                <w:b/>
                <w:iCs/>
                <w:color w:val="000000"/>
                <w:szCs w:val="22"/>
                <w:lang w:val="fr-FR"/>
              </w:rPr>
            </w:pPr>
          </w:p>
          <w:p w14:paraId="0292780B" w14:textId="7C3305DE" w:rsidR="00B56F85" w:rsidRPr="00B60188" w:rsidRDefault="00B56F85" w:rsidP="00047732">
            <w:pPr>
              <w:autoSpaceDE w:val="0"/>
              <w:autoSpaceDN w:val="0"/>
              <w:adjustRightInd w:val="0"/>
              <w:spacing w:after="0" w:line="240" w:lineRule="auto"/>
              <w:rPr>
                <w:rFonts w:ascii="Calibri" w:eastAsia="Calibri" w:hAnsi="Calibri" w:cs="Calibri"/>
                <w:b/>
                <w:iCs/>
                <w:color w:val="000000"/>
                <w:szCs w:val="22"/>
                <w:lang w:val="fr-FR"/>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BFBFBF"/>
          </w:tcPr>
          <w:p w14:paraId="4813E914" w14:textId="4E878A3C" w:rsidR="00B56F85" w:rsidRPr="00722055" w:rsidRDefault="00B60188" w:rsidP="00D77678">
            <w:pPr>
              <w:autoSpaceDE w:val="0"/>
              <w:autoSpaceDN w:val="0"/>
              <w:adjustRightInd w:val="0"/>
              <w:spacing w:after="0" w:line="360" w:lineRule="auto"/>
              <w:jc w:val="center"/>
              <w:rPr>
                <w:rFonts w:ascii="Calibri" w:eastAsia="Calibri" w:hAnsi="Calibri" w:cs="Calibri"/>
                <w:b/>
                <w:iCs/>
                <w:color w:val="000000"/>
                <w:szCs w:val="22"/>
                <w:lang w:val="de-DE"/>
              </w:rPr>
            </w:pPr>
            <w:r>
              <w:rPr>
                <w:rFonts w:ascii="Calibri" w:eastAsia="Calibri" w:hAnsi="Calibri" w:cs="Calibri"/>
                <w:b/>
                <w:iCs/>
                <w:color w:val="000000"/>
                <w:szCs w:val="22"/>
                <w:lang w:val="de-DE"/>
              </w:rPr>
              <w:t>Quantités estimées (en tonnes)</w:t>
            </w:r>
          </w:p>
        </w:tc>
      </w:tr>
      <w:tr w:rsidR="00B56F85" w:rsidRPr="00722055" w14:paraId="45E493DE" w14:textId="77777777" w:rsidTr="00D77678">
        <w:tc>
          <w:tcPr>
            <w:tcW w:w="1980" w:type="dxa"/>
            <w:tcBorders>
              <w:left w:val="single" w:sz="4" w:space="0" w:color="auto"/>
              <w:right w:val="single" w:sz="4" w:space="0" w:color="auto"/>
            </w:tcBorders>
            <w:shd w:val="clear" w:color="auto" w:fill="BFBFBF"/>
          </w:tcPr>
          <w:p w14:paraId="51E98BEF" w14:textId="77777777" w:rsidR="00B56F85" w:rsidRPr="00722055" w:rsidRDefault="00B56F85" w:rsidP="00047732">
            <w:pPr>
              <w:autoSpaceDE w:val="0"/>
              <w:autoSpaceDN w:val="0"/>
              <w:adjustRightInd w:val="0"/>
              <w:spacing w:after="0" w:line="240" w:lineRule="auto"/>
              <w:rPr>
                <w:rFonts w:ascii="Calibri" w:eastAsia="Calibri" w:hAnsi="Calibri" w:cs="Calibri"/>
                <w:b/>
                <w:iCs/>
                <w:color w:val="000000"/>
                <w:szCs w:val="22"/>
                <w:lang w:val="de-DE"/>
              </w:rPr>
            </w:pPr>
          </w:p>
        </w:tc>
        <w:tc>
          <w:tcPr>
            <w:tcW w:w="2410" w:type="dxa"/>
            <w:tcBorders>
              <w:top w:val="single" w:sz="4" w:space="0" w:color="auto"/>
              <w:left w:val="single" w:sz="4" w:space="0" w:color="auto"/>
              <w:bottom w:val="single" w:sz="4" w:space="0" w:color="auto"/>
              <w:right w:val="single" w:sz="4" w:space="0" w:color="auto"/>
            </w:tcBorders>
            <w:shd w:val="clear" w:color="auto" w:fill="BFBFBF"/>
          </w:tcPr>
          <w:p w14:paraId="07AA386E" w14:textId="77777777" w:rsidR="00B56F85" w:rsidRPr="00722055" w:rsidRDefault="00B56F85" w:rsidP="00047732">
            <w:pPr>
              <w:autoSpaceDE w:val="0"/>
              <w:autoSpaceDN w:val="0"/>
              <w:adjustRightInd w:val="0"/>
              <w:spacing w:after="0" w:line="240" w:lineRule="auto"/>
              <w:jc w:val="center"/>
              <w:rPr>
                <w:rFonts w:ascii="Calibri" w:eastAsia="Calibri" w:hAnsi="Calibri" w:cs="Calibri"/>
                <w:b/>
                <w:iCs/>
                <w:color w:val="000000"/>
                <w:szCs w:val="22"/>
                <w:lang w:val="de-DE"/>
              </w:rPr>
            </w:pPr>
            <w:r>
              <w:rPr>
                <w:rFonts w:ascii="Calibri" w:eastAsia="Calibri" w:hAnsi="Calibri" w:cs="Calibri"/>
                <w:b/>
                <w:iCs/>
                <w:color w:val="000000"/>
                <w:szCs w:val="22"/>
                <w:lang w:val="de-DE"/>
              </w:rPr>
              <w:t>2016</w:t>
            </w:r>
          </w:p>
        </w:tc>
        <w:tc>
          <w:tcPr>
            <w:tcW w:w="2126" w:type="dxa"/>
            <w:tcBorders>
              <w:top w:val="single" w:sz="4" w:space="0" w:color="auto"/>
              <w:left w:val="single" w:sz="4" w:space="0" w:color="auto"/>
              <w:bottom w:val="single" w:sz="4" w:space="0" w:color="auto"/>
              <w:right w:val="single" w:sz="4" w:space="0" w:color="auto"/>
            </w:tcBorders>
            <w:shd w:val="clear" w:color="auto" w:fill="BFBFBF"/>
          </w:tcPr>
          <w:p w14:paraId="284376F4" w14:textId="77777777" w:rsidR="00B56F85" w:rsidRPr="00722055" w:rsidRDefault="00B56F85" w:rsidP="00047732">
            <w:pPr>
              <w:autoSpaceDE w:val="0"/>
              <w:autoSpaceDN w:val="0"/>
              <w:adjustRightInd w:val="0"/>
              <w:spacing w:after="0" w:line="240" w:lineRule="auto"/>
              <w:jc w:val="center"/>
              <w:rPr>
                <w:rFonts w:ascii="Calibri" w:eastAsia="Calibri" w:hAnsi="Calibri" w:cs="Calibri"/>
                <w:b/>
                <w:iCs/>
                <w:color w:val="000000"/>
                <w:szCs w:val="22"/>
                <w:lang w:val="de-DE"/>
              </w:rPr>
            </w:pPr>
            <w:r>
              <w:rPr>
                <w:rFonts w:ascii="Calibri" w:eastAsia="Calibri" w:hAnsi="Calibri" w:cs="Calibri"/>
                <w:b/>
                <w:iCs/>
                <w:color w:val="000000"/>
                <w:szCs w:val="22"/>
                <w:lang w:val="de-DE"/>
              </w:rPr>
              <w:t>2019</w:t>
            </w:r>
          </w:p>
        </w:tc>
        <w:tc>
          <w:tcPr>
            <w:tcW w:w="2835" w:type="dxa"/>
            <w:tcBorders>
              <w:top w:val="single" w:sz="4" w:space="0" w:color="auto"/>
              <w:left w:val="single" w:sz="4" w:space="0" w:color="auto"/>
              <w:bottom w:val="single" w:sz="4" w:space="0" w:color="auto"/>
              <w:right w:val="single" w:sz="4" w:space="0" w:color="auto"/>
            </w:tcBorders>
            <w:shd w:val="clear" w:color="auto" w:fill="BFBFBF"/>
          </w:tcPr>
          <w:p w14:paraId="3F3741D0" w14:textId="43F2E5EF" w:rsidR="00B56F85" w:rsidRPr="00722055" w:rsidRDefault="00B60188" w:rsidP="00047732">
            <w:pPr>
              <w:autoSpaceDE w:val="0"/>
              <w:autoSpaceDN w:val="0"/>
              <w:adjustRightInd w:val="0"/>
              <w:spacing w:after="0" w:line="240" w:lineRule="auto"/>
              <w:jc w:val="center"/>
              <w:rPr>
                <w:rFonts w:ascii="Calibri" w:eastAsia="Calibri" w:hAnsi="Calibri" w:cs="Calibri"/>
                <w:b/>
                <w:iCs/>
                <w:color w:val="000000"/>
                <w:szCs w:val="22"/>
                <w:lang w:val="de-DE"/>
              </w:rPr>
            </w:pPr>
            <w:r>
              <w:rPr>
                <w:rFonts w:ascii="Calibri" w:eastAsia="Calibri" w:hAnsi="Calibri" w:cs="Calibri"/>
                <w:b/>
                <w:iCs/>
                <w:color w:val="000000"/>
                <w:szCs w:val="22"/>
                <w:lang w:val="de-DE"/>
              </w:rPr>
              <w:t xml:space="preserve">Différence </w:t>
            </w:r>
            <w:r w:rsidR="00D77678" w:rsidRPr="00722055">
              <w:rPr>
                <w:rFonts w:ascii="Calibri" w:eastAsia="Calibri" w:hAnsi="Calibri" w:cs="Calibri"/>
                <w:iCs/>
                <w:color w:val="000000"/>
                <w:szCs w:val="22"/>
                <w:lang w:val="de-DE"/>
              </w:rPr>
              <w:t>[%]</w:t>
            </w:r>
          </w:p>
        </w:tc>
      </w:tr>
      <w:tr w:rsidR="00B56F85" w:rsidRPr="00722055" w14:paraId="0CFB83FF" w14:textId="77777777" w:rsidTr="00047732">
        <w:tc>
          <w:tcPr>
            <w:tcW w:w="1980" w:type="dxa"/>
            <w:tcBorders>
              <w:top w:val="single" w:sz="4" w:space="0" w:color="auto"/>
              <w:left w:val="single" w:sz="4" w:space="0" w:color="auto"/>
              <w:bottom w:val="single" w:sz="4" w:space="0" w:color="auto"/>
              <w:right w:val="single" w:sz="4" w:space="0" w:color="auto"/>
            </w:tcBorders>
            <w:shd w:val="clear" w:color="auto" w:fill="BFBFBF"/>
          </w:tcPr>
          <w:p w14:paraId="1313A868" w14:textId="181F19F2" w:rsidR="00B56F85" w:rsidRPr="00722055" w:rsidRDefault="00B60188" w:rsidP="00047732">
            <w:pPr>
              <w:autoSpaceDE w:val="0"/>
              <w:autoSpaceDN w:val="0"/>
              <w:adjustRightInd w:val="0"/>
              <w:spacing w:after="0" w:line="240" w:lineRule="auto"/>
              <w:rPr>
                <w:rFonts w:ascii="Calibri" w:eastAsia="Calibri" w:hAnsi="Calibri" w:cs="Calibri"/>
                <w:iCs/>
                <w:color w:val="000000"/>
                <w:szCs w:val="22"/>
                <w:lang w:val="de-DE"/>
              </w:rPr>
            </w:pPr>
            <w:r>
              <w:rPr>
                <w:rFonts w:ascii="Calibri" w:eastAsia="Calibri" w:hAnsi="Calibri" w:cs="Calibri"/>
                <w:iCs/>
                <w:color w:val="000000"/>
                <w:szCs w:val="22"/>
                <w:lang w:val="de-DE"/>
              </w:rPr>
              <w:t>Ménages</w:t>
            </w:r>
          </w:p>
        </w:tc>
        <w:tc>
          <w:tcPr>
            <w:tcW w:w="2410" w:type="dxa"/>
            <w:tcBorders>
              <w:top w:val="single" w:sz="4" w:space="0" w:color="auto"/>
              <w:left w:val="single" w:sz="4" w:space="0" w:color="auto"/>
              <w:bottom w:val="single" w:sz="4" w:space="0" w:color="auto"/>
              <w:right w:val="single" w:sz="4" w:space="0" w:color="auto"/>
            </w:tcBorders>
            <w:vAlign w:val="center"/>
          </w:tcPr>
          <w:p w14:paraId="74305201" w14:textId="77777777" w:rsidR="00B56F85" w:rsidRPr="00722055" w:rsidRDefault="00B56F85" w:rsidP="00047732">
            <w:pPr>
              <w:spacing w:after="0" w:line="240" w:lineRule="auto"/>
              <w:jc w:val="right"/>
              <w:rPr>
                <w:rFonts w:ascii="Calibri" w:hAnsi="Calibri" w:cs="Calibri"/>
                <w:color w:val="auto"/>
                <w:szCs w:val="22"/>
                <w:lang w:val="de-DE" w:eastAsia="de-DE"/>
              </w:rPr>
            </w:pPr>
            <w:r w:rsidRPr="00722055">
              <w:rPr>
                <w:rFonts w:ascii="Calibri" w:hAnsi="Calibri" w:cs="Calibri"/>
                <w:color w:val="auto"/>
                <w:szCs w:val="22"/>
                <w:lang w:val="en-GB" w:eastAsia="de-DE"/>
              </w:rPr>
              <w:t>49.260</w:t>
            </w:r>
          </w:p>
        </w:tc>
        <w:tc>
          <w:tcPr>
            <w:tcW w:w="2126" w:type="dxa"/>
            <w:tcBorders>
              <w:top w:val="single" w:sz="4" w:space="0" w:color="auto"/>
              <w:left w:val="single" w:sz="4" w:space="0" w:color="auto"/>
              <w:bottom w:val="single" w:sz="4" w:space="0" w:color="auto"/>
              <w:right w:val="single" w:sz="4" w:space="0" w:color="auto"/>
            </w:tcBorders>
            <w:vAlign w:val="center"/>
          </w:tcPr>
          <w:p w14:paraId="7CC6E15A" w14:textId="77777777" w:rsidR="00B56F85" w:rsidRPr="00722055" w:rsidRDefault="00B56F85" w:rsidP="00047732">
            <w:pPr>
              <w:spacing w:after="0" w:line="240" w:lineRule="auto"/>
              <w:jc w:val="center"/>
              <w:rPr>
                <w:rFonts w:ascii="Calibri" w:hAnsi="Calibri" w:cs="Calibri"/>
                <w:color w:val="auto"/>
                <w:szCs w:val="22"/>
                <w:lang w:val="de-DE" w:eastAsia="de-DE"/>
              </w:rPr>
            </w:pPr>
            <w:r w:rsidRPr="00722055">
              <w:rPr>
                <w:rFonts w:ascii="Calibri" w:hAnsi="Calibri" w:cs="Calibri"/>
                <w:color w:val="000000"/>
                <w:szCs w:val="22"/>
                <w:lang w:val="de-DE" w:eastAsia="de-DE"/>
              </w:rPr>
              <w:t>53.270</w:t>
            </w:r>
          </w:p>
        </w:tc>
        <w:tc>
          <w:tcPr>
            <w:tcW w:w="2835" w:type="dxa"/>
            <w:tcBorders>
              <w:top w:val="single" w:sz="4" w:space="0" w:color="auto"/>
              <w:left w:val="single" w:sz="4" w:space="0" w:color="auto"/>
              <w:bottom w:val="single" w:sz="4" w:space="0" w:color="auto"/>
              <w:right w:val="single" w:sz="4" w:space="0" w:color="auto"/>
            </w:tcBorders>
            <w:vAlign w:val="center"/>
          </w:tcPr>
          <w:p w14:paraId="74C03699" w14:textId="77777777" w:rsidR="00B56F85" w:rsidRPr="00722055" w:rsidRDefault="00B56F85" w:rsidP="00047732">
            <w:pPr>
              <w:spacing w:after="0" w:line="240" w:lineRule="auto"/>
              <w:jc w:val="center"/>
              <w:rPr>
                <w:rFonts w:ascii="Calibri" w:hAnsi="Calibri" w:cs="Calibri"/>
                <w:color w:val="auto"/>
                <w:szCs w:val="22"/>
                <w:lang w:val="de-DE" w:eastAsia="de-DE"/>
              </w:rPr>
            </w:pPr>
            <w:r>
              <w:rPr>
                <w:rFonts w:ascii="Calibri" w:hAnsi="Calibri" w:cs="Calibri"/>
                <w:color w:val="auto"/>
                <w:szCs w:val="22"/>
                <w:lang w:val="de-DE" w:eastAsia="de-DE"/>
              </w:rPr>
              <w:t>+</w:t>
            </w:r>
            <w:r w:rsidRPr="00722055">
              <w:rPr>
                <w:rFonts w:ascii="Calibri" w:hAnsi="Calibri" w:cs="Calibri"/>
                <w:color w:val="auto"/>
                <w:szCs w:val="22"/>
                <w:lang w:val="de-DE" w:eastAsia="de-DE"/>
              </w:rPr>
              <w:t>8,1</w:t>
            </w:r>
          </w:p>
        </w:tc>
      </w:tr>
      <w:tr w:rsidR="00B56F85" w:rsidRPr="00722055" w14:paraId="4597A330" w14:textId="77777777" w:rsidTr="00047732">
        <w:tc>
          <w:tcPr>
            <w:tcW w:w="1980" w:type="dxa"/>
            <w:tcBorders>
              <w:top w:val="single" w:sz="4" w:space="0" w:color="auto"/>
              <w:left w:val="single" w:sz="4" w:space="0" w:color="auto"/>
              <w:bottom w:val="single" w:sz="4" w:space="0" w:color="auto"/>
              <w:right w:val="single" w:sz="4" w:space="0" w:color="auto"/>
            </w:tcBorders>
            <w:shd w:val="clear" w:color="auto" w:fill="BFBFBF"/>
          </w:tcPr>
          <w:p w14:paraId="28037D38" w14:textId="40BDB582" w:rsidR="00B56F85" w:rsidRPr="00722055" w:rsidRDefault="00B60188" w:rsidP="00B60188">
            <w:pPr>
              <w:autoSpaceDE w:val="0"/>
              <w:autoSpaceDN w:val="0"/>
              <w:adjustRightInd w:val="0"/>
              <w:spacing w:after="0" w:line="240" w:lineRule="auto"/>
              <w:rPr>
                <w:rFonts w:ascii="Calibri" w:eastAsia="Calibri" w:hAnsi="Calibri" w:cs="Calibri"/>
                <w:iCs/>
                <w:color w:val="000000"/>
                <w:szCs w:val="22"/>
                <w:lang w:val="de-DE"/>
              </w:rPr>
            </w:pPr>
            <w:r>
              <w:rPr>
                <w:rFonts w:ascii="Calibri" w:eastAsia="Calibri" w:hAnsi="Calibri" w:cs="Calibri"/>
                <w:iCs/>
                <w:color w:val="000000"/>
                <w:szCs w:val="22"/>
                <w:lang w:val="de-DE"/>
              </w:rPr>
              <w:t>Gastronomie</w:t>
            </w:r>
          </w:p>
        </w:tc>
        <w:tc>
          <w:tcPr>
            <w:tcW w:w="2410" w:type="dxa"/>
            <w:tcBorders>
              <w:top w:val="single" w:sz="4" w:space="0" w:color="auto"/>
              <w:left w:val="single" w:sz="4" w:space="0" w:color="auto"/>
              <w:bottom w:val="single" w:sz="4" w:space="0" w:color="auto"/>
              <w:right w:val="single" w:sz="4" w:space="0" w:color="auto"/>
            </w:tcBorders>
            <w:vAlign w:val="center"/>
          </w:tcPr>
          <w:p w14:paraId="28E78DEF" w14:textId="77777777" w:rsidR="00B56F85" w:rsidRPr="00722055" w:rsidRDefault="00B56F85" w:rsidP="00047732">
            <w:pPr>
              <w:spacing w:after="0" w:line="240" w:lineRule="auto"/>
              <w:jc w:val="right"/>
              <w:rPr>
                <w:rFonts w:ascii="Calibri" w:hAnsi="Calibri" w:cs="Calibri"/>
                <w:color w:val="auto"/>
                <w:szCs w:val="22"/>
                <w:lang w:val="de-DE" w:eastAsia="de-DE"/>
              </w:rPr>
            </w:pPr>
            <w:r w:rsidRPr="00722055">
              <w:rPr>
                <w:rFonts w:ascii="Calibri" w:hAnsi="Calibri" w:cs="Calibri"/>
                <w:color w:val="auto"/>
                <w:szCs w:val="22"/>
                <w:lang w:val="en-GB" w:eastAsia="de-DE"/>
              </w:rPr>
              <w:t>6.150</w:t>
            </w:r>
          </w:p>
        </w:tc>
        <w:tc>
          <w:tcPr>
            <w:tcW w:w="2126" w:type="dxa"/>
            <w:tcBorders>
              <w:top w:val="single" w:sz="4" w:space="0" w:color="auto"/>
              <w:left w:val="single" w:sz="4" w:space="0" w:color="auto"/>
              <w:bottom w:val="single" w:sz="4" w:space="0" w:color="auto"/>
              <w:right w:val="single" w:sz="4" w:space="0" w:color="auto"/>
            </w:tcBorders>
            <w:vAlign w:val="center"/>
          </w:tcPr>
          <w:p w14:paraId="563CD354" w14:textId="77777777" w:rsidR="00B56F85" w:rsidRPr="00722055" w:rsidRDefault="00B56F85" w:rsidP="00047732">
            <w:pPr>
              <w:spacing w:after="0" w:line="240" w:lineRule="auto"/>
              <w:jc w:val="center"/>
              <w:rPr>
                <w:rFonts w:ascii="Calibri" w:hAnsi="Calibri" w:cs="Calibri"/>
                <w:color w:val="auto"/>
                <w:szCs w:val="22"/>
                <w:lang w:val="de-DE" w:eastAsia="de-DE"/>
              </w:rPr>
            </w:pPr>
            <w:r w:rsidRPr="00722055">
              <w:rPr>
                <w:rFonts w:ascii="Calibri" w:hAnsi="Calibri" w:cs="Calibri"/>
                <w:color w:val="000000"/>
                <w:szCs w:val="22"/>
                <w:lang w:val="de-DE" w:eastAsia="de-DE"/>
              </w:rPr>
              <w:t>5.250</w:t>
            </w:r>
          </w:p>
        </w:tc>
        <w:tc>
          <w:tcPr>
            <w:tcW w:w="2835" w:type="dxa"/>
            <w:tcBorders>
              <w:top w:val="single" w:sz="4" w:space="0" w:color="auto"/>
              <w:left w:val="single" w:sz="4" w:space="0" w:color="auto"/>
              <w:bottom w:val="single" w:sz="4" w:space="0" w:color="auto"/>
              <w:right w:val="single" w:sz="4" w:space="0" w:color="auto"/>
            </w:tcBorders>
            <w:vAlign w:val="center"/>
          </w:tcPr>
          <w:p w14:paraId="76841E9F" w14:textId="77777777" w:rsidR="00B56F85" w:rsidRPr="00722055" w:rsidRDefault="00B56F85" w:rsidP="00047732">
            <w:pPr>
              <w:spacing w:after="0" w:line="240" w:lineRule="auto"/>
              <w:jc w:val="center"/>
              <w:rPr>
                <w:rFonts w:ascii="Calibri" w:hAnsi="Calibri" w:cs="Calibri"/>
                <w:color w:val="auto"/>
                <w:szCs w:val="22"/>
                <w:lang w:val="de-DE" w:eastAsia="de-DE"/>
              </w:rPr>
            </w:pPr>
            <w:r w:rsidRPr="00722055">
              <w:rPr>
                <w:rFonts w:ascii="Calibri" w:hAnsi="Calibri" w:cs="Calibri"/>
                <w:color w:val="auto"/>
                <w:szCs w:val="22"/>
                <w:lang w:val="de-DE" w:eastAsia="de-DE"/>
              </w:rPr>
              <w:t>-14,6</w:t>
            </w:r>
          </w:p>
        </w:tc>
      </w:tr>
      <w:tr w:rsidR="00B56F85" w:rsidRPr="00722055" w14:paraId="6177E67B" w14:textId="77777777" w:rsidTr="00047732">
        <w:tc>
          <w:tcPr>
            <w:tcW w:w="1980" w:type="dxa"/>
            <w:tcBorders>
              <w:top w:val="single" w:sz="4" w:space="0" w:color="auto"/>
              <w:left w:val="single" w:sz="4" w:space="0" w:color="auto"/>
              <w:bottom w:val="single" w:sz="4" w:space="0" w:color="auto"/>
              <w:right w:val="single" w:sz="4" w:space="0" w:color="auto"/>
            </w:tcBorders>
            <w:shd w:val="clear" w:color="auto" w:fill="BFBFBF"/>
          </w:tcPr>
          <w:p w14:paraId="655C31CA" w14:textId="1EE9FDD1" w:rsidR="00B56F85" w:rsidRPr="00722055" w:rsidRDefault="00B60188" w:rsidP="00047732">
            <w:pPr>
              <w:autoSpaceDE w:val="0"/>
              <w:autoSpaceDN w:val="0"/>
              <w:adjustRightInd w:val="0"/>
              <w:spacing w:after="0" w:line="240" w:lineRule="auto"/>
              <w:rPr>
                <w:rFonts w:ascii="Calibri" w:eastAsia="Calibri" w:hAnsi="Calibri" w:cs="Calibri"/>
                <w:iCs/>
                <w:color w:val="000000"/>
                <w:szCs w:val="22"/>
                <w:lang w:val="de-DE"/>
              </w:rPr>
            </w:pPr>
            <w:r>
              <w:rPr>
                <w:rFonts w:ascii="Calibri" w:eastAsia="Calibri" w:hAnsi="Calibri" w:cs="Calibri"/>
                <w:iCs/>
                <w:color w:val="000000"/>
                <w:szCs w:val="22"/>
                <w:lang w:val="de-DE"/>
              </w:rPr>
              <w:t>Restauration collective</w:t>
            </w:r>
          </w:p>
        </w:tc>
        <w:tc>
          <w:tcPr>
            <w:tcW w:w="2410" w:type="dxa"/>
            <w:tcBorders>
              <w:top w:val="single" w:sz="4" w:space="0" w:color="auto"/>
              <w:left w:val="single" w:sz="4" w:space="0" w:color="auto"/>
              <w:bottom w:val="single" w:sz="4" w:space="0" w:color="auto"/>
              <w:right w:val="single" w:sz="4" w:space="0" w:color="auto"/>
            </w:tcBorders>
            <w:vAlign w:val="center"/>
          </w:tcPr>
          <w:p w14:paraId="1CEF0BEB" w14:textId="77777777" w:rsidR="00B56F85" w:rsidRPr="00722055" w:rsidRDefault="00B56F85" w:rsidP="00047732">
            <w:pPr>
              <w:spacing w:after="0" w:line="240" w:lineRule="auto"/>
              <w:jc w:val="right"/>
              <w:rPr>
                <w:rFonts w:ascii="Calibri" w:hAnsi="Calibri" w:cs="Calibri"/>
                <w:color w:val="auto"/>
                <w:szCs w:val="22"/>
                <w:lang w:val="de-DE" w:eastAsia="de-DE"/>
              </w:rPr>
            </w:pPr>
            <w:r w:rsidRPr="00722055">
              <w:rPr>
                <w:rFonts w:ascii="Calibri" w:hAnsi="Calibri" w:cs="Calibri"/>
                <w:color w:val="auto"/>
                <w:szCs w:val="22"/>
                <w:lang w:val="en-GB" w:eastAsia="de-DE"/>
              </w:rPr>
              <w:t>7.650</w:t>
            </w:r>
          </w:p>
        </w:tc>
        <w:tc>
          <w:tcPr>
            <w:tcW w:w="2126" w:type="dxa"/>
            <w:tcBorders>
              <w:top w:val="single" w:sz="4" w:space="0" w:color="auto"/>
              <w:left w:val="single" w:sz="4" w:space="0" w:color="auto"/>
              <w:bottom w:val="single" w:sz="4" w:space="0" w:color="auto"/>
              <w:right w:val="single" w:sz="4" w:space="0" w:color="auto"/>
            </w:tcBorders>
            <w:vAlign w:val="center"/>
          </w:tcPr>
          <w:p w14:paraId="19A901AD" w14:textId="77777777" w:rsidR="00B56F85" w:rsidRPr="00722055" w:rsidRDefault="00B56F85" w:rsidP="00047732">
            <w:pPr>
              <w:spacing w:after="0" w:line="240" w:lineRule="auto"/>
              <w:jc w:val="center"/>
              <w:rPr>
                <w:rFonts w:ascii="Calibri" w:hAnsi="Calibri" w:cs="Calibri"/>
                <w:color w:val="auto"/>
                <w:szCs w:val="22"/>
                <w:lang w:val="de-DE" w:eastAsia="de-DE"/>
              </w:rPr>
            </w:pPr>
            <w:r w:rsidRPr="00722055">
              <w:rPr>
                <w:rFonts w:ascii="Calibri" w:hAnsi="Calibri" w:cs="Calibri"/>
                <w:color w:val="000000"/>
                <w:szCs w:val="22"/>
                <w:lang w:val="de-DE" w:eastAsia="de-DE"/>
              </w:rPr>
              <w:t>7.092</w:t>
            </w:r>
          </w:p>
        </w:tc>
        <w:tc>
          <w:tcPr>
            <w:tcW w:w="2835" w:type="dxa"/>
            <w:tcBorders>
              <w:top w:val="single" w:sz="4" w:space="0" w:color="auto"/>
              <w:left w:val="single" w:sz="4" w:space="0" w:color="auto"/>
              <w:bottom w:val="single" w:sz="4" w:space="0" w:color="auto"/>
              <w:right w:val="single" w:sz="4" w:space="0" w:color="auto"/>
            </w:tcBorders>
            <w:vAlign w:val="center"/>
          </w:tcPr>
          <w:p w14:paraId="03B21262" w14:textId="77777777" w:rsidR="00B56F85" w:rsidRPr="00722055" w:rsidRDefault="00B56F85" w:rsidP="00047732">
            <w:pPr>
              <w:spacing w:after="0" w:line="240" w:lineRule="auto"/>
              <w:jc w:val="center"/>
              <w:rPr>
                <w:rFonts w:ascii="Calibri" w:hAnsi="Calibri" w:cs="Calibri"/>
                <w:color w:val="auto"/>
                <w:szCs w:val="22"/>
                <w:lang w:val="de-DE" w:eastAsia="de-DE"/>
              </w:rPr>
            </w:pPr>
            <w:r w:rsidRPr="00722055">
              <w:rPr>
                <w:rFonts w:ascii="Calibri" w:hAnsi="Calibri" w:cs="Calibri"/>
                <w:color w:val="auto"/>
                <w:szCs w:val="22"/>
                <w:lang w:val="de-DE" w:eastAsia="de-DE"/>
              </w:rPr>
              <w:t>-7,3</w:t>
            </w:r>
          </w:p>
        </w:tc>
      </w:tr>
      <w:tr w:rsidR="00B56F85" w:rsidRPr="00722055" w14:paraId="7FEE20C0" w14:textId="77777777" w:rsidTr="00047732">
        <w:tc>
          <w:tcPr>
            <w:tcW w:w="1980" w:type="dxa"/>
            <w:tcBorders>
              <w:top w:val="single" w:sz="4" w:space="0" w:color="auto"/>
              <w:left w:val="single" w:sz="4" w:space="0" w:color="auto"/>
              <w:bottom w:val="single" w:sz="4" w:space="0" w:color="auto"/>
              <w:right w:val="single" w:sz="4" w:space="0" w:color="auto"/>
            </w:tcBorders>
            <w:shd w:val="clear" w:color="auto" w:fill="BFBFBF"/>
          </w:tcPr>
          <w:p w14:paraId="4FD1F551" w14:textId="7B402B40" w:rsidR="00B56F85" w:rsidRPr="00722055" w:rsidRDefault="00B60188" w:rsidP="00B60188">
            <w:pPr>
              <w:autoSpaceDE w:val="0"/>
              <w:autoSpaceDN w:val="0"/>
              <w:adjustRightInd w:val="0"/>
              <w:spacing w:after="0" w:line="240" w:lineRule="auto"/>
              <w:rPr>
                <w:rFonts w:ascii="Calibri" w:eastAsia="Calibri" w:hAnsi="Calibri" w:cs="Calibri"/>
                <w:iCs/>
                <w:color w:val="000000"/>
                <w:szCs w:val="22"/>
                <w:lang w:val="de-DE"/>
              </w:rPr>
            </w:pPr>
            <w:r>
              <w:rPr>
                <w:rFonts w:ascii="Calibri" w:eastAsia="Calibri" w:hAnsi="Calibri" w:cs="Calibri"/>
                <w:iCs/>
                <w:color w:val="000000"/>
                <w:szCs w:val="22"/>
                <w:lang w:val="de-DE"/>
              </w:rPr>
              <w:t>Commerce</w:t>
            </w:r>
          </w:p>
        </w:tc>
        <w:tc>
          <w:tcPr>
            <w:tcW w:w="2410" w:type="dxa"/>
            <w:tcBorders>
              <w:top w:val="single" w:sz="4" w:space="0" w:color="auto"/>
              <w:left w:val="single" w:sz="4" w:space="0" w:color="auto"/>
              <w:bottom w:val="single" w:sz="4" w:space="0" w:color="auto"/>
              <w:right w:val="single" w:sz="4" w:space="0" w:color="auto"/>
            </w:tcBorders>
            <w:vAlign w:val="center"/>
          </w:tcPr>
          <w:p w14:paraId="44BD0F33" w14:textId="77777777" w:rsidR="00B56F85" w:rsidRPr="00722055" w:rsidRDefault="00B56F85" w:rsidP="00047732">
            <w:pPr>
              <w:spacing w:after="0" w:line="240" w:lineRule="auto"/>
              <w:jc w:val="right"/>
              <w:rPr>
                <w:rFonts w:ascii="Calibri" w:hAnsi="Calibri" w:cs="Calibri"/>
                <w:color w:val="auto"/>
                <w:szCs w:val="22"/>
                <w:lang w:val="de-DE" w:eastAsia="de-DE"/>
              </w:rPr>
            </w:pPr>
            <w:r w:rsidRPr="00722055">
              <w:rPr>
                <w:rFonts w:ascii="Calibri" w:hAnsi="Calibri" w:cs="Calibri"/>
                <w:color w:val="auto"/>
                <w:szCs w:val="22"/>
                <w:lang w:val="en-GB" w:eastAsia="de-DE"/>
              </w:rPr>
              <w:t>4.450</w:t>
            </w:r>
          </w:p>
        </w:tc>
        <w:tc>
          <w:tcPr>
            <w:tcW w:w="2126" w:type="dxa"/>
            <w:tcBorders>
              <w:top w:val="single" w:sz="4" w:space="0" w:color="auto"/>
              <w:left w:val="single" w:sz="4" w:space="0" w:color="auto"/>
              <w:bottom w:val="single" w:sz="4" w:space="0" w:color="auto"/>
              <w:right w:val="single" w:sz="4" w:space="0" w:color="auto"/>
            </w:tcBorders>
            <w:vAlign w:val="center"/>
          </w:tcPr>
          <w:p w14:paraId="23FCEB26" w14:textId="77777777" w:rsidR="00B56F85" w:rsidRPr="00722055" w:rsidRDefault="00B56F85" w:rsidP="00047732">
            <w:pPr>
              <w:spacing w:after="0" w:line="240" w:lineRule="auto"/>
              <w:jc w:val="center"/>
              <w:rPr>
                <w:rFonts w:ascii="Calibri" w:hAnsi="Calibri" w:cs="Calibri"/>
                <w:color w:val="auto"/>
                <w:szCs w:val="22"/>
                <w:lang w:val="de-DE" w:eastAsia="de-DE"/>
              </w:rPr>
            </w:pPr>
            <w:r w:rsidRPr="00722055">
              <w:rPr>
                <w:rFonts w:ascii="Calibri" w:hAnsi="Calibri" w:cs="Calibri"/>
                <w:color w:val="000000"/>
                <w:szCs w:val="22"/>
                <w:lang w:val="de-DE" w:eastAsia="de-DE"/>
              </w:rPr>
              <w:t>5.150</w:t>
            </w:r>
          </w:p>
        </w:tc>
        <w:tc>
          <w:tcPr>
            <w:tcW w:w="2835" w:type="dxa"/>
            <w:tcBorders>
              <w:top w:val="single" w:sz="4" w:space="0" w:color="auto"/>
              <w:left w:val="single" w:sz="4" w:space="0" w:color="auto"/>
              <w:bottom w:val="single" w:sz="4" w:space="0" w:color="auto"/>
              <w:right w:val="single" w:sz="4" w:space="0" w:color="auto"/>
            </w:tcBorders>
            <w:vAlign w:val="center"/>
          </w:tcPr>
          <w:p w14:paraId="38D5DF8E" w14:textId="77777777" w:rsidR="00B56F85" w:rsidRPr="00722055" w:rsidRDefault="00B56F85" w:rsidP="00047732">
            <w:pPr>
              <w:spacing w:after="0" w:line="240" w:lineRule="auto"/>
              <w:jc w:val="center"/>
              <w:rPr>
                <w:rFonts w:ascii="Calibri" w:hAnsi="Calibri" w:cs="Calibri"/>
                <w:color w:val="auto"/>
                <w:szCs w:val="22"/>
                <w:lang w:val="de-DE" w:eastAsia="de-DE"/>
              </w:rPr>
            </w:pPr>
            <w:r>
              <w:rPr>
                <w:rFonts w:ascii="Calibri" w:hAnsi="Calibri" w:cs="Calibri"/>
                <w:color w:val="auto"/>
                <w:szCs w:val="22"/>
                <w:lang w:val="de-DE" w:eastAsia="de-DE"/>
              </w:rPr>
              <w:t>+</w:t>
            </w:r>
            <w:r w:rsidRPr="00722055">
              <w:rPr>
                <w:rFonts w:ascii="Calibri" w:hAnsi="Calibri" w:cs="Calibri"/>
                <w:color w:val="auto"/>
                <w:szCs w:val="22"/>
                <w:lang w:val="de-DE" w:eastAsia="de-DE"/>
              </w:rPr>
              <w:t>15,7</w:t>
            </w:r>
          </w:p>
        </w:tc>
      </w:tr>
      <w:tr w:rsidR="00B56F85" w:rsidRPr="00722055" w14:paraId="34A9A598" w14:textId="77777777" w:rsidTr="00047732">
        <w:tc>
          <w:tcPr>
            <w:tcW w:w="1980" w:type="dxa"/>
            <w:tcBorders>
              <w:top w:val="single" w:sz="4" w:space="0" w:color="auto"/>
              <w:left w:val="single" w:sz="4" w:space="0" w:color="auto"/>
              <w:bottom w:val="single" w:sz="4" w:space="0" w:color="auto"/>
              <w:right w:val="single" w:sz="4" w:space="0" w:color="auto"/>
            </w:tcBorders>
            <w:shd w:val="clear" w:color="auto" w:fill="BFBFBF"/>
          </w:tcPr>
          <w:p w14:paraId="6D6B619B" w14:textId="77777777" w:rsidR="00B56F85" w:rsidRPr="00722055" w:rsidRDefault="00B56F85" w:rsidP="00047732">
            <w:pPr>
              <w:autoSpaceDE w:val="0"/>
              <w:autoSpaceDN w:val="0"/>
              <w:adjustRightInd w:val="0"/>
              <w:spacing w:after="0" w:line="240" w:lineRule="auto"/>
              <w:rPr>
                <w:rFonts w:ascii="Calibri" w:eastAsia="Calibri" w:hAnsi="Calibri" w:cs="Calibri"/>
                <w:b/>
                <w:iCs/>
                <w:color w:val="000000"/>
                <w:szCs w:val="22"/>
                <w:lang w:val="de-DE"/>
              </w:rPr>
            </w:pPr>
            <w:r w:rsidRPr="00722055">
              <w:rPr>
                <w:rFonts w:ascii="Calibri" w:eastAsia="Calibri" w:hAnsi="Calibri" w:cs="Calibri"/>
                <w:b/>
                <w:iCs/>
                <w:color w:val="000000"/>
                <w:szCs w:val="22"/>
                <w:lang w:val="de-DE"/>
              </w:rPr>
              <w:t>Total</w:t>
            </w:r>
          </w:p>
        </w:tc>
        <w:tc>
          <w:tcPr>
            <w:tcW w:w="2410" w:type="dxa"/>
            <w:tcBorders>
              <w:top w:val="single" w:sz="4" w:space="0" w:color="auto"/>
              <w:left w:val="single" w:sz="4" w:space="0" w:color="auto"/>
              <w:bottom w:val="single" w:sz="4" w:space="0" w:color="auto"/>
              <w:right w:val="single" w:sz="4" w:space="0" w:color="auto"/>
            </w:tcBorders>
            <w:vAlign w:val="center"/>
          </w:tcPr>
          <w:p w14:paraId="4B8C5AE3" w14:textId="77777777" w:rsidR="00B56F85" w:rsidRPr="00722055" w:rsidRDefault="00B56F85" w:rsidP="00047732">
            <w:pPr>
              <w:spacing w:after="0" w:line="240" w:lineRule="auto"/>
              <w:jc w:val="right"/>
              <w:rPr>
                <w:rFonts w:ascii="Calibri" w:hAnsi="Calibri" w:cs="Calibri"/>
                <w:b/>
                <w:bCs/>
                <w:color w:val="000000"/>
                <w:szCs w:val="22"/>
                <w:lang w:val="de-DE" w:eastAsia="de-DE"/>
              </w:rPr>
            </w:pPr>
            <w:r w:rsidRPr="00722055">
              <w:rPr>
                <w:rFonts w:ascii="Calibri" w:hAnsi="Calibri" w:cs="Calibri"/>
                <w:b/>
                <w:bCs/>
                <w:color w:val="000000"/>
                <w:szCs w:val="22"/>
                <w:lang w:val="en-GB" w:eastAsia="de-DE"/>
              </w:rPr>
              <w:t>67.510</w:t>
            </w:r>
          </w:p>
        </w:tc>
        <w:tc>
          <w:tcPr>
            <w:tcW w:w="2126" w:type="dxa"/>
            <w:tcBorders>
              <w:top w:val="single" w:sz="4" w:space="0" w:color="auto"/>
              <w:left w:val="single" w:sz="4" w:space="0" w:color="auto"/>
              <w:bottom w:val="single" w:sz="4" w:space="0" w:color="auto"/>
              <w:right w:val="single" w:sz="4" w:space="0" w:color="auto"/>
            </w:tcBorders>
            <w:vAlign w:val="center"/>
          </w:tcPr>
          <w:p w14:paraId="62879FBD" w14:textId="77777777" w:rsidR="00B56F85" w:rsidRPr="00722055" w:rsidRDefault="00B56F85" w:rsidP="00047732">
            <w:pPr>
              <w:spacing w:after="0" w:line="240" w:lineRule="auto"/>
              <w:jc w:val="center"/>
              <w:rPr>
                <w:rFonts w:ascii="Calibri" w:hAnsi="Calibri" w:cs="Calibri"/>
                <w:b/>
                <w:bCs/>
                <w:color w:val="auto"/>
                <w:szCs w:val="22"/>
                <w:lang w:val="de-DE" w:eastAsia="de-DE"/>
              </w:rPr>
            </w:pPr>
            <w:r w:rsidRPr="00722055">
              <w:rPr>
                <w:rFonts w:ascii="Calibri" w:hAnsi="Calibri" w:cs="Calibri"/>
                <w:b/>
                <w:bCs/>
                <w:color w:val="000000"/>
                <w:szCs w:val="22"/>
                <w:lang w:val="de-DE" w:eastAsia="de-DE"/>
              </w:rPr>
              <w:t>70.762</w:t>
            </w:r>
          </w:p>
        </w:tc>
        <w:tc>
          <w:tcPr>
            <w:tcW w:w="2835" w:type="dxa"/>
            <w:tcBorders>
              <w:top w:val="single" w:sz="4" w:space="0" w:color="auto"/>
              <w:left w:val="single" w:sz="4" w:space="0" w:color="auto"/>
              <w:bottom w:val="single" w:sz="4" w:space="0" w:color="auto"/>
              <w:right w:val="single" w:sz="4" w:space="0" w:color="auto"/>
            </w:tcBorders>
            <w:vAlign w:val="center"/>
          </w:tcPr>
          <w:p w14:paraId="0807F75F" w14:textId="77777777" w:rsidR="00B56F85" w:rsidRPr="00722055" w:rsidRDefault="00B56F85" w:rsidP="00047732">
            <w:pPr>
              <w:spacing w:after="0" w:line="240" w:lineRule="auto"/>
              <w:jc w:val="center"/>
              <w:rPr>
                <w:rFonts w:ascii="Calibri" w:hAnsi="Calibri" w:cs="Calibri"/>
                <w:b/>
                <w:bCs/>
                <w:color w:val="auto"/>
                <w:szCs w:val="22"/>
                <w:lang w:val="de-DE" w:eastAsia="de-DE"/>
              </w:rPr>
            </w:pPr>
            <w:r>
              <w:rPr>
                <w:rFonts w:ascii="Calibri" w:hAnsi="Calibri" w:cs="Calibri"/>
                <w:b/>
                <w:bCs/>
                <w:color w:val="auto"/>
                <w:szCs w:val="22"/>
                <w:lang w:val="de-DE" w:eastAsia="de-DE"/>
              </w:rPr>
              <w:t>+</w:t>
            </w:r>
            <w:r w:rsidRPr="00722055">
              <w:rPr>
                <w:rFonts w:ascii="Calibri" w:hAnsi="Calibri" w:cs="Calibri"/>
                <w:b/>
                <w:bCs/>
                <w:color w:val="auto"/>
                <w:szCs w:val="22"/>
                <w:lang w:val="de-DE" w:eastAsia="de-DE"/>
              </w:rPr>
              <w:t>4,8</w:t>
            </w:r>
          </w:p>
        </w:tc>
      </w:tr>
    </w:tbl>
    <w:p w14:paraId="03A17C98" w14:textId="539AC449" w:rsidR="002A2361" w:rsidRPr="00B60188" w:rsidRDefault="002A2361" w:rsidP="00B60188">
      <w:pPr>
        <w:rPr>
          <w:rStyle w:val="Hyperlink"/>
          <w:lang w:val="fr-FR"/>
        </w:rPr>
      </w:pPr>
    </w:p>
    <w:sectPr w:rsidR="002A2361" w:rsidRPr="00B60188">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5C4B8" w14:textId="77777777" w:rsidR="00E73424" w:rsidRDefault="00E73424" w:rsidP="00171849">
      <w:pPr>
        <w:spacing w:after="0" w:line="240" w:lineRule="auto"/>
      </w:pPr>
      <w:r>
        <w:separator/>
      </w:r>
    </w:p>
  </w:endnote>
  <w:endnote w:type="continuationSeparator" w:id="0">
    <w:p w14:paraId="543C877F" w14:textId="77777777" w:rsidR="00E73424" w:rsidRDefault="00E73424" w:rsidP="0017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fia Pro Soft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A8EE5" w14:textId="77777777" w:rsidR="00E73424" w:rsidRDefault="00E73424" w:rsidP="00171849">
      <w:pPr>
        <w:spacing w:after="0" w:line="240" w:lineRule="auto"/>
      </w:pPr>
      <w:r>
        <w:separator/>
      </w:r>
    </w:p>
  </w:footnote>
  <w:footnote w:type="continuationSeparator" w:id="0">
    <w:p w14:paraId="3C0C3213" w14:textId="77777777" w:rsidR="00E73424" w:rsidRDefault="00E73424" w:rsidP="00171849">
      <w:pPr>
        <w:spacing w:after="0" w:line="240" w:lineRule="auto"/>
      </w:pPr>
      <w:r>
        <w:continuationSeparator/>
      </w:r>
    </w:p>
  </w:footnote>
  <w:footnote w:id="1">
    <w:p w14:paraId="56CBCB3E" w14:textId="7C6A7457" w:rsidR="00544C83" w:rsidRPr="00544C83" w:rsidRDefault="00544C83">
      <w:pPr>
        <w:pStyle w:val="FootnoteText"/>
        <w:rPr>
          <w:lang w:val="en-US"/>
        </w:rPr>
      </w:pPr>
      <w:r>
        <w:rPr>
          <w:rStyle w:val="FootnoteReference"/>
        </w:rPr>
        <w:footnoteRef/>
      </w:r>
      <w:r>
        <w:t xml:space="preserve"> </w:t>
      </w:r>
      <w:hyperlink r:id="rId1" w:history="1">
        <w:r w:rsidRPr="00544C83">
          <w:rPr>
            <w:rStyle w:val="Hyperlink"/>
            <w:sz w:val="18"/>
          </w:rPr>
          <w:t>https://environnement.public.lu/fr/offall-ressourcen/types-de-dechets/Dechets_menagers_encombrants_et_assimiles.html</w:t>
        </w:r>
      </w:hyperlink>
      <w:r w:rsidRPr="00544C83">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7D182" w14:textId="77777777" w:rsidR="00171849" w:rsidRDefault="00171849" w:rsidP="00A429E6">
    <w:pPr>
      <w:pStyle w:val="Header"/>
      <w:jc w:val="right"/>
    </w:pPr>
    <w:r>
      <w:rPr>
        <w:noProof/>
        <w:lang w:val="en-US"/>
      </w:rPr>
      <w:drawing>
        <wp:inline distT="0" distB="0" distL="0" distR="0" wp14:anchorId="352238EB" wp14:editId="7CEE6FCD">
          <wp:extent cx="2631678"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V_MECDD_Administration_de_l’environnement_Rou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1678" cy="900000"/>
                  </a:xfrm>
                  <a:prstGeom prst="rect">
                    <a:avLst/>
                  </a:prstGeom>
                </pic:spPr>
              </pic:pic>
            </a:graphicData>
          </a:graphic>
        </wp:inline>
      </w:drawing>
    </w:r>
  </w:p>
  <w:p w14:paraId="4E6D51F3" w14:textId="77777777" w:rsidR="00171849" w:rsidRDefault="00171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94CDE"/>
    <w:multiLevelType w:val="hybridMultilevel"/>
    <w:tmpl w:val="23FE1160"/>
    <w:lvl w:ilvl="0" w:tplc="DA2C6874">
      <w:start w:val="1"/>
      <w:numFmt w:val="bullet"/>
      <w:lvlText w:val=""/>
      <w:lvlJc w:val="left"/>
      <w:pPr>
        <w:ind w:left="720" w:hanging="360"/>
      </w:pPr>
      <w:rPr>
        <w:rFonts w:ascii="Symbol" w:hAnsi="Symbol" w:hint="default"/>
        <w:color w:val="auto"/>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 w15:restartNumberingAfterBreak="0">
    <w:nsid w:val="3AC67749"/>
    <w:multiLevelType w:val="hybridMultilevel"/>
    <w:tmpl w:val="2894FFBC"/>
    <w:lvl w:ilvl="0" w:tplc="04090001">
      <w:start w:val="1"/>
      <w:numFmt w:val="bullet"/>
      <w:lvlText w:val=""/>
      <w:lvlJc w:val="left"/>
      <w:pPr>
        <w:ind w:left="720" w:hanging="360"/>
      </w:pPr>
      <w:rPr>
        <w:rFonts w:ascii="Symbol" w:hAnsi="Symbol" w:hint="default"/>
      </w:rPr>
    </w:lvl>
    <w:lvl w:ilvl="1" w:tplc="8788D0DE">
      <w:numFmt w:val="bullet"/>
      <w:lvlText w:val="•"/>
      <w:lvlJc w:val="left"/>
      <w:pPr>
        <w:ind w:left="1800" w:hanging="720"/>
      </w:pPr>
      <w:rPr>
        <w:rFonts w:ascii="Calibri Light" w:eastAsia="Times New Roman"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57689"/>
    <w:multiLevelType w:val="hybridMultilevel"/>
    <w:tmpl w:val="6A30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9208F"/>
    <w:multiLevelType w:val="hybridMultilevel"/>
    <w:tmpl w:val="C57262CC"/>
    <w:lvl w:ilvl="0" w:tplc="EABE21F2">
      <w:start w:val="10"/>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91B6B"/>
    <w:multiLevelType w:val="hybridMultilevel"/>
    <w:tmpl w:val="0930D338"/>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5F"/>
    <w:rsid w:val="000368D0"/>
    <w:rsid w:val="00037BC1"/>
    <w:rsid w:val="00043C7B"/>
    <w:rsid w:val="00047A21"/>
    <w:rsid w:val="0005745F"/>
    <w:rsid w:val="00071D18"/>
    <w:rsid w:val="000C74CF"/>
    <w:rsid w:val="000D3A79"/>
    <w:rsid w:val="000E119D"/>
    <w:rsid w:val="00102A73"/>
    <w:rsid w:val="0013547F"/>
    <w:rsid w:val="0014196A"/>
    <w:rsid w:val="0016722D"/>
    <w:rsid w:val="00171849"/>
    <w:rsid w:val="001B3D9F"/>
    <w:rsid w:val="001C167D"/>
    <w:rsid w:val="001D1420"/>
    <w:rsid w:val="001D6C91"/>
    <w:rsid w:val="001F100B"/>
    <w:rsid w:val="00203305"/>
    <w:rsid w:val="0021136C"/>
    <w:rsid w:val="00217572"/>
    <w:rsid w:val="002307D3"/>
    <w:rsid w:val="00237780"/>
    <w:rsid w:val="00265710"/>
    <w:rsid w:val="00292C67"/>
    <w:rsid w:val="002A2361"/>
    <w:rsid w:val="002B2C01"/>
    <w:rsid w:val="002B3C88"/>
    <w:rsid w:val="002C3D64"/>
    <w:rsid w:val="002E33CD"/>
    <w:rsid w:val="002F12B0"/>
    <w:rsid w:val="003015E2"/>
    <w:rsid w:val="00334070"/>
    <w:rsid w:val="00337867"/>
    <w:rsid w:val="00357441"/>
    <w:rsid w:val="00365BE5"/>
    <w:rsid w:val="00376F4B"/>
    <w:rsid w:val="003927C4"/>
    <w:rsid w:val="00395321"/>
    <w:rsid w:val="003B5539"/>
    <w:rsid w:val="003C4A48"/>
    <w:rsid w:val="003D2722"/>
    <w:rsid w:val="003E357E"/>
    <w:rsid w:val="003F4AC8"/>
    <w:rsid w:val="0041138F"/>
    <w:rsid w:val="00426774"/>
    <w:rsid w:val="00450054"/>
    <w:rsid w:val="0045325A"/>
    <w:rsid w:val="004A4EE2"/>
    <w:rsid w:val="004F34F3"/>
    <w:rsid w:val="00502B90"/>
    <w:rsid w:val="00526086"/>
    <w:rsid w:val="00531C58"/>
    <w:rsid w:val="00541DDC"/>
    <w:rsid w:val="00544C83"/>
    <w:rsid w:val="00606DF2"/>
    <w:rsid w:val="00637DDC"/>
    <w:rsid w:val="00640AFA"/>
    <w:rsid w:val="006510A8"/>
    <w:rsid w:val="006767B9"/>
    <w:rsid w:val="00690ADC"/>
    <w:rsid w:val="00696E70"/>
    <w:rsid w:val="006C4179"/>
    <w:rsid w:val="006C7AEE"/>
    <w:rsid w:val="006E01C9"/>
    <w:rsid w:val="006E6010"/>
    <w:rsid w:val="006F56AF"/>
    <w:rsid w:val="00710E19"/>
    <w:rsid w:val="00716E30"/>
    <w:rsid w:val="00733E64"/>
    <w:rsid w:val="007412C5"/>
    <w:rsid w:val="007457CD"/>
    <w:rsid w:val="007776FD"/>
    <w:rsid w:val="007A48EE"/>
    <w:rsid w:val="007A55E1"/>
    <w:rsid w:val="007B5EF8"/>
    <w:rsid w:val="007B70D5"/>
    <w:rsid w:val="007E01AC"/>
    <w:rsid w:val="007E61ED"/>
    <w:rsid w:val="00817B14"/>
    <w:rsid w:val="008210D8"/>
    <w:rsid w:val="00830C58"/>
    <w:rsid w:val="00830F7A"/>
    <w:rsid w:val="008367F9"/>
    <w:rsid w:val="00854499"/>
    <w:rsid w:val="00885C84"/>
    <w:rsid w:val="008B47F9"/>
    <w:rsid w:val="008B4B0A"/>
    <w:rsid w:val="008B797C"/>
    <w:rsid w:val="008C0B12"/>
    <w:rsid w:val="008D7E3F"/>
    <w:rsid w:val="008E009C"/>
    <w:rsid w:val="0090003B"/>
    <w:rsid w:val="009363BF"/>
    <w:rsid w:val="009505D3"/>
    <w:rsid w:val="009527EE"/>
    <w:rsid w:val="00985C6B"/>
    <w:rsid w:val="009A572E"/>
    <w:rsid w:val="009C7D7D"/>
    <w:rsid w:val="009D2D4C"/>
    <w:rsid w:val="009D62F5"/>
    <w:rsid w:val="00A20EFC"/>
    <w:rsid w:val="00A429E6"/>
    <w:rsid w:val="00A54298"/>
    <w:rsid w:val="00A61664"/>
    <w:rsid w:val="00A73098"/>
    <w:rsid w:val="00A80649"/>
    <w:rsid w:val="00A959F2"/>
    <w:rsid w:val="00AC22D4"/>
    <w:rsid w:val="00AD2EF3"/>
    <w:rsid w:val="00B0720A"/>
    <w:rsid w:val="00B130EB"/>
    <w:rsid w:val="00B4331D"/>
    <w:rsid w:val="00B46D54"/>
    <w:rsid w:val="00B56F85"/>
    <w:rsid w:val="00B60188"/>
    <w:rsid w:val="00B744BD"/>
    <w:rsid w:val="00BC336F"/>
    <w:rsid w:val="00BC6D8B"/>
    <w:rsid w:val="00C22AF4"/>
    <w:rsid w:val="00C22CF6"/>
    <w:rsid w:val="00C37616"/>
    <w:rsid w:val="00C5686F"/>
    <w:rsid w:val="00C77827"/>
    <w:rsid w:val="00C81553"/>
    <w:rsid w:val="00C920DB"/>
    <w:rsid w:val="00C92CB6"/>
    <w:rsid w:val="00CB3F68"/>
    <w:rsid w:val="00CB5377"/>
    <w:rsid w:val="00CB739B"/>
    <w:rsid w:val="00CC434D"/>
    <w:rsid w:val="00D023D2"/>
    <w:rsid w:val="00D41D64"/>
    <w:rsid w:val="00D435E9"/>
    <w:rsid w:val="00D65064"/>
    <w:rsid w:val="00D77678"/>
    <w:rsid w:val="00D83AFA"/>
    <w:rsid w:val="00D9367F"/>
    <w:rsid w:val="00D946F9"/>
    <w:rsid w:val="00DC3985"/>
    <w:rsid w:val="00DC4ED8"/>
    <w:rsid w:val="00DF0982"/>
    <w:rsid w:val="00DF614E"/>
    <w:rsid w:val="00DF66CF"/>
    <w:rsid w:val="00E010E5"/>
    <w:rsid w:val="00E313C9"/>
    <w:rsid w:val="00E42610"/>
    <w:rsid w:val="00E501FE"/>
    <w:rsid w:val="00E6087C"/>
    <w:rsid w:val="00E62074"/>
    <w:rsid w:val="00E66B0A"/>
    <w:rsid w:val="00E73424"/>
    <w:rsid w:val="00E877C2"/>
    <w:rsid w:val="00EA44E8"/>
    <w:rsid w:val="00EE0DDB"/>
    <w:rsid w:val="00F4111C"/>
    <w:rsid w:val="00F47F4F"/>
    <w:rsid w:val="00F53500"/>
    <w:rsid w:val="00F765FD"/>
    <w:rsid w:val="00FC3E6C"/>
    <w:rsid w:val="00FD42C9"/>
    <w:rsid w:val="00FD5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5885F"/>
  <w15:docId w15:val="{2621967D-4AB7-433C-BBE2-0B6E470A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EF3"/>
    <w:pPr>
      <w:spacing w:after="160" w:line="288" w:lineRule="auto"/>
    </w:pPr>
    <w:rPr>
      <w:rFonts w:ascii="Calibri Light" w:hAnsi="Calibri Light"/>
      <w:color w:val="262626"/>
      <w:sz w:val="22"/>
      <w:lang w:val="fr-LU"/>
    </w:rPr>
  </w:style>
  <w:style w:type="paragraph" w:styleId="Heading1">
    <w:name w:val="heading 1"/>
    <w:next w:val="Normal"/>
    <w:link w:val="Heading1Char"/>
    <w:uiPriority w:val="9"/>
    <w:qFormat/>
    <w:rsid w:val="00AD2EF3"/>
    <w:pPr>
      <w:spacing w:after="160" w:line="280" w:lineRule="atLeast"/>
      <w:outlineLvl w:val="0"/>
    </w:pPr>
    <w:rPr>
      <w:rFonts w:eastAsiaTheme="majorEastAsia" w:cstheme="majorBidi"/>
      <w:caps/>
      <w:color w:val="E40520"/>
      <w:sz w:val="46"/>
      <w:szCs w:val="46"/>
    </w:rPr>
  </w:style>
  <w:style w:type="paragraph" w:styleId="Heading2">
    <w:name w:val="heading 2"/>
    <w:next w:val="Normal"/>
    <w:link w:val="Heading2Char"/>
    <w:uiPriority w:val="9"/>
    <w:unhideWhenUsed/>
    <w:qFormat/>
    <w:rsid w:val="00AD2EF3"/>
    <w:pPr>
      <w:spacing w:before="240" w:after="160" w:line="288" w:lineRule="auto"/>
      <w:outlineLvl w:val="1"/>
    </w:pPr>
    <w:rPr>
      <w:rFonts w:eastAsia="Calibri"/>
      <w:b/>
      <w:caps/>
      <w:color w:val="E40520"/>
      <w:sz w:val="32"/>
      <w:szCs w:val="28"/>
      <w:lang w:val="fr-FR"/>
    </w:rPr>
  </w:style>
  <w:style w:type="paragraph" w:styleId="Heading3">
    <w:name w:val="heading 3"/>
    <w:basedOn w:val="Heading2"/>
    <w:next w:val="Normal"/>
    <w:link w:val="Heading3Char"/>
    <w:uiPriority w:val="9"/>
    <w:unhideWhenUsed/>
    <w:qFormat/>
    <w:rsid w:val="00AD2EF3"/>
    <w:pPr>
      <w:outlineLvl w:val="2"/>
    </w:pPr>
    <w:rPr>
      <w:rFonts w:ascii="Calibri Light" w:hAnsi="Calibri Light" w:cstheme="majorBidi"/>
      <w:color w:val="5A5A59"/>
      <w:sz w:val="24"/>
    </w:rPr>
  </w:style>
  <w:style w:type="paragraph" w:styleId="Heading4">
    <w:name w:val="heading 4"/>
    <w:basedOn w:val="Normal"/>
    <w:next w:val="Normal"/>
    <w:link w:val="Heading4Char"/>
    <w:uiPriority w:val="9"/>
    <w:unhideWhenUsed/>
    <w:qFormat/>
    <w:rsid w:val="00AD2EF3"/>
    <w:pPr>
      <w:spacing w:before="360"/>
      <w:outlineLvl w:val="3"/>
    </w:pPr>
    <w:rPr>
      <w:b/>
      <w:i/>
      <w:color w:val="5A5A59"/>
      <w:sz w:val="24"/>
      <w:szCs w:val="22"/>
      <w:lang w:val="en-US"/>
    </w:rPr>
  </w:style>
  <w:style w:type="paragraph" w:styleId="Heading5">
    <w:name w:val="heading 5"/>
    <w:basedOn w:val="Normal"/>
    <w:next w:val="Normal"/>
    <w:link w:val="Heading5Char"/>
    <w:uiPriority w:val="9"/>
    <w:unhideWhenUsed/>
    <w:qFormat/>
    <w:rsid w:val="00AD2EF3"/>
    <w:pPr>
      <w:spacing w:line="240" w:lineRule="auto"/>
      <w:outlineLvl w:val="4"/>
    </w:pPr>
    <w:rPr>
      <w:caps/>
      <w:color w:val="E40520"/>
      <w:szCs w:val="22"/>
      <w:lang w:val="en-US"/>
    </w:rPr>
  </w:style>
  <w:style w:type="paragraph" w:styleId="Heading6">
    <w:name w:val="heading 6"/>
    <w:basedOn w:val="Normal"/>
    <w:next w:val="Normal"/>
    <w:link w:val="Heading6Char"/>
    <w:uiPriority w:val="9"/>
    <w:unhideWhenUsed/>
    <w:qFormat/>
    <w:rsid w:val="00AD2EF3"/>
    <w:pPr>
      <w:spacing w:before="200" w:after="100"/>
      <w:ind w:left="720"/>
      <w:contextualSpacing/>
      <w:outlineLvl w:val="5"/>
    </w:pPr>
    <w:rPr>
      <w:rFonts w:eastAsiaTheme="majorEastAsia" w:cstheme="majorBidi"/>
      <w:caps/>
      <w:color w:val="E40520"/>
      <w:szCs w:val="22"/>
      <w:lang w:val="en-US"/>
    </w:rPr>
  </w:style>
  <w:style w:type="paragraph" w:styleId="Heading7">
    <w:name w:val="heading 7"/>
    <w:basedOn w:val="Heading8"/>
    <w:next w:val="Normal"/>
    <w:link w:val="Heading7Char"/>
    <w:qFormat/>
    <w:rsid w:val="00AD2EF3"/>
    <w:pPr>
      <w:outlineLvl w:val="6"/>
    </w:pPr>
    <w:rPr>
      <w:rFonts w:ascii="Calibri Light" w:eastAsia="Times New Roman" w:hAnsi="Calibri Light" w:cs="Times New Roman"/>
      <w:b w:val="0"/>
      <w:color w:val="E40520"/>
      <w:sz w:val="20"/>
    </w:rPr>
  </w:style>
  <w:style w:type="paragraph" w:styleId="Heading8">
    <w:name w:val="heading 8"/>
    <w:basedOn w:val="Normal"/>
    <w:next w:val="Normal"/>
    <w:link w:val="Heading8Char"/>
    <w:uiPriority w:val="9"/>
    <w:semiHidden/>
    <w:unhideWhenUsed/>
    <w:rsid w:val="00DC4ED8"/>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lang w:val="en-US"/>
    </w:rPr>
  </w:style>
  <w:style w:type="paragraph" w:styleId="Heading9">
    <w:name w:val="heading 9"/>
    <w:basedOn w:val="Normal"/>
    <w:next w:val="Normal"/>
    <w:link w:val="Heading9Char"/>
    <w:uiPriority w:val="9"/>
    <w:semiHidden/>
    <w:unhideWhenUsed/>
    <w:rsid w:val="00DC4ED8"/>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EF3"/>
    <w:rPr>
      <w:rFonts w:eastAsiaTheme="majorEastAsia" w:cstheme="majorBidi"/>
      <w:caps/>
      <w:color w:val="E40520"/>
      <w:sz w:val="46"/>
      <w:szCs w:val="46"/>
    </w:rPr>
  </w:style>
  <w:style w:type="character" w:customStyle="1" w:styleId="Heading2Char">
    <w:name w:val="Heading 2 Char"/>
    <w:link w:val="Heading2"/>
    <w:uiPriority w:val="9"/>
    <w:rsid w:val="00AD2EF3"/>
    <w:rPr>
      <w:rFonts w:eastAsia="Calibri"/>
      <w:b/>
      <w:caps/>
      <w:color w:val="E40520"/>
      <w:sz w:val="32"/>
      <w:szCs w:val="28"/>
      <w:lang w:val="fr-FR"/>
    </w:rPr>
  </w:style>
  <w:style w:type="paragraph" w:customStyle="1" w:styleId="Axis-Fonts">
    <w:name w:val="Axis-Fonts"/>
    <w:basedOn w:val="Normal"/>
    <w:link w:val="Axis-FontsChar"/>
    <w:qFormat/>
    <w:rsid w:val="00AD2EF3"/>
    <w:rPr>
      <w:sz w:val="20"/>
    </w:rPr>
  </w:style>
  <w:style w:type="character" w:customStyle="1" w:styleId="Axis-FontsChar">
    <w:name w:val="Axis-Fonts Char"/>
    <w:link w:val="Axis-Fonts"/>
    <w:rsid w:val="00AD2EF3"/>
    <w:rPr>
      <w:rFonts w:ascii="Calibri Light" w:hAnsi="Calibri Light"/>
      <w:color w:val="262626"/>
      <w:lang w:val="fr-LU"/>
    </w:rPr>
  </w:style>
  <w:style w:type="paragraph" w:customStyle="1" w:styleId="Table-Heading">
    <w:name w:val="Table-Heading"/>
    <w:basedOn w:val="IntenseQuote"/>
    <w:link w:val="Table-HeadingChar"/>
    <w:qFormat/>
    <w:rsid w:val="00AD2EF3"/>
    <w:pPr>
      <w:shd w:val="clear" w:color="auto" w:fill="auto"/>
    </w:pPr>
    <w:rPr>
      <w:rFonts w:eastAsia="Times New Roman" w:cs="Times New Roman"/>
      <w:b/>
      <w:bCs/>
      <w:color w:val="FFFFFF" w:themeColor="background1"/>
      <w:lang w:val="fr-FR"/>
    </w:rPr>
  </w:style>
  <w:style w:type="character" w:customStyle="1" w:styleId="Table-HeadingChar">
    <w:name w:val="Table-Heading Char"/>
    <w:link w:val="Table-Heading"/>
    <w:rsid w:val="00AD2EF3"/>
    <w:rPr>
      <w:rFonts w:ascii="Calibri Light" w:hAnsi="Calibri Light"/>
      <w:b/>
      <w:bCs/>
      <w:color w:val="FFFFFF" w:themeColor="background1"/>
      <w:sz w:val="22"/>
      <w:lang w:val="fr-FR"/>
    </w:rPr>
  </w:style>
  <w:style w:type="character" w:customStyle="1" w:styleId="Heading3Char">
    <w:name w:val="Heading 3 Char"/>
    <w:link w:val="Heading3"/>
    <w:uiPriority w:val="9"/>
    <w:rsid w:val="00AD2EF3"/>
    <w:rPr>
      <w:rFonts w:ascii="Calibri Light" w:eastAsia="Calibri" w:hAnsi="Calibri Light" w:cstheme="majorBidi"/>
      <w:b/>
      <w:caps/>
      <w:color w:val="5A5A59"/>
      <w:sz w:val="24"/>
      <w:szCs w:val="28"/>
      <w:lang w:val="fr-FR"/>
    </w:rPr>
  </w:style>
  <w:style w:type="character" w:customStyle="1" w:styleId="Heading4Char">
    <w:name w:val="Heading 4 Char"/>
    <w:link w:val="Heading4"/>
    <w:uiPriority w:val="9"/>
    <w:rsid w:val="00AD2EF3"/>
    <w:rPr>
      <w:rFonts w:ascii="Calibri Light" w:hAnsi="Calibri Light"/>
      <w:b/>
      <w:i/>
      <w:color w:val="5A5A59"/>
      <w:sz w:val="24"/>
      <w:szCs w:val="22"/>
    </w:rPr>
  </w:style>
  <w:style w:type="character" w:customStyle="1" w:styleId="Heading5Char">
    <w:name w:val="Heading 5 Char"/>
    <w:link w:val="Heading5"/>
    <w:uiPriority w:val="9"/>
    <w:rsid w:val="00AD2EF3"/>
    <w:rPr>
      <w:rFonts w:ascii="Calibri Light" w:hAnsi="Calibri Light"/>
      <w:caps/>
      <w:color w:val="E40520"/>
      <w:sz w:val="22"/>
      <w:szCs w:val="22"/>
    </w:rPr>
  </w:style>
  <w:style w:type="character" w:customStyle="1" w:styleId="Heading6Char">
    <w:name w:val="Heading 6 Char"/>
    <w:link w:val="Heading6"/>
    <w:uiPriority w:val="9"/>
    <w:rsid w:val="00AD2EF3"/>
    <w:rPr>
      <w:rFonts w:ascii="Calibri Light" w:eastAsiaTheme="majorEastAsia" w:hAnsi="Calibri Light" w:cstheme="majorBidi"/>
      <w:caps/>
      <w:color w:val="E40520"/>
      <w:sz w:val="22"/>
      <w:szCs w:val="22"/>
    </w:rPr>
  </w:style>
  <w:style w:type="character" w:customStyle="1" w:styleId="Heading8Char">
    <w:name w:val="Heading 8 Char"/>
    <w:basedOn w:val="DefaultParagraphFont"/>
    <w:link w:val="Heading8"/>
    <w:uiPriority w:val="9"/>
    <w:semiHidden/>
    <w:rsid w:val="00DC4ED8"/>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DC4ED8"/>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AD2EF3"/>
    <w:pPr>
      <w:spacing w:before="240"/>
    </w:pPr>
    <w:rPr>
      <w:bCs/>
      <w:smallCaps/>
      <w:color w:val="5A5A59"/>
      <w:spacing w:val="10"/>
      <w:sz w:val="18"/>
      <w:szCs w:val="18"/>
    </w:rPr>
  </w:style>
  <w:style w:type="paragraph" w:styleId="Title">
    <w:name w:val="Title"/>
    <w:basedOn w:val="Normal"/>
    <w:next w:val="Normal"/>
    <w:link w:val="TitleChar"/>
    <w:uiPriority w:val="10"/>
    <w:qFormat/>
    <w:rsid w:val="00AD2EF3"/>
    <w:pPr>
      <w:spacing w:before="480"/>
    </w:pPr>
    <w:rPr>
      <w:rFonts w:eastAsiaTheme="majorEastAsia" w:cstheme="majorBidi"/>
      <w:caps/>
      <w:color w:val="E40520"/>
      <w:sz w:val="72"/>
      <w:szCs w:val="72"/>
      <w:lang w:val="en-US"/>
    </w:rPr>
  </w:style>
  <w:style w:type="character" w:customStyle="1" w:styleId="TitleChar">
    <w:name w:val="Title Char"/>
    <w:link w:val="Title"/>
    <w:uiPriority w:val="10"/>
    <w:rsid w:val="00AD2EF3"/>
    <w:rPr>
      <w:rFonts w:ascii="Calibri Light" w:eastAsiaTheme="majorEastAsia" w:hAnsi="Calibri Light" w:cstheme="majorBidi"/>
      <w:caps/>
      <w:color w:val="E40520"/>
      <w:sz w:val="72"/>
      <w:szCs w:val="72"/>
    </w:rPr>
  </w:style>
  <w:style w:type="paragraph" w:styleId="Subtitle">
    <w:name w:val="Subtitle"/>
    <w:next w:val="Normal"/>
    <w:link w:val="SubtitleChar"/>
    <w:uiPriority w:val="11"/>
    <w:qFormat/>
    <w:rsid w:val="00AD2EF3"/>
    <w:pPr>
      <w:spacing w:after="160" w:line="288" w:lineRule="auto"/>
    </w:pPr>
    <w:rPr>
      <w:b/>
      <w:caps/>
      <w:color w:val="424B5B"/>
      <w:sz w:val="32"/>
      <w:szCs w:val="32"/>
    </w:rPr>
  </w:style>
  <w:style w:type="character" w:customStyle="1" w:styleId="SubtitleChar">
    <w:name w:val="Subtitle Char"/>
    <w:link w:val="Subtitle"/>
    <w:uiPriority w:val="11"/>
    <w:rsid w:val="00AD2EF3"/>
    <w:rPr>
      <w:b/>
      <w:caps/>
      <w:color w:val="424B5B"/>
      <w:sz w:val="32"/>
      <w:szCs w:val="32"/>
    </w:rPr>
  </w:style>
  <w:style w:type="paragraph" w:styleId="IntenseQuote">
    <w:name w:val="Intense Quote"/>
    <w:basedOn w:val="Normal"/>
    <w:next w:val="Normal"/>
    <w:link w:val="IntenseQuoteChar"/>
    <w:uiPriority w:val="30"/>
    <w:qFormat/>
    <w:rsid w:val="00AD2EF3"/>
    <w:pPr>
      <w:shd w:val="clear" w:color="auto" w:fill="E1DFDF"/>
    </w:pPr>
    <w:rPr>
      <w:rFonts w:eastAsiaTheme="majorEastAsia" w:cstheme="majorBidi"/>
    </w:rPr>
  </w:style>
  <w:style w:type="character" w:customStyle="1" w:styleId="IntenseQuoteChar">
    <w:name w:val="Intense Quote Char"/>
    <w:link w:val="IntenseQuote"/>
    <w:uiPriority w:val="30"/>
    <w:rsid w:val="00AD2EF3"/>
    <w:rPr>
      <w:rFonts w:ascii="Calibri Light" w:eastAsiaTheme="majorEastAsia" w:hAnsi="Calibri Light" w:cstheme="majorBidi"/>
      <w:color w:val="262626"/>
      <w:sz w:val="22"/>
      <w:shd w:val="clear" w:color="auto" w:fill="E1DFDF"/>
      <w:lang w:val="fr-LU"/>
    </w:rPr>
  </w:style>
  <w:style w:type="paragraph" w:styleId="TOCHeading">
    <w:name w:val="TOC Heading"/>
    <w:basedOn w:val="Heading1"/>
    <w:next w:val="Normal"/>
    <w:uiPriority w:val="39"/>
    <w:semiHidden/>
    <w:unhideWhenUsed/>
    <w:qFormat/>
    <w:rsid w:val="00AD2EF3"/>
    <w:pPr>
      <w:outlineLvl w:val="9"/>
    </w:pPr>
    <w:rPr>
      <w:lang w:bidi="en-US"/>
    </w:rPr>
  </w:style>
  <w:style w:type="table" w:customStyle="1" w:styleId="AEV">
    <w:name w:val="AEV"/>
    <w:basedOn w:val="TableNormal"/>
    <w:uiPriority w:val="99"/>
    <w:rsid w:val="00690ADC"/>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tblBorders>
    </w:tblPr>
    <w:tblStylePr w:type="firstRow">
      <w:rPr>
        <w:rFonts w:asciiTheme="minorHAnsi" w:hAnsiTheme="minorHAnsi"/>
        <w:color w:val="FFFFFF" w:themeColor="background1"/>
      </w:rPr>
      <w:tblPr/>
      <w:tcPr>
        <w:shd w:val="clear" w:color="auto" w:fill="595959" w:themeFill="text1" w:themeFillTint="A6"/>
      </w:tcPr>
    </w:tblStylePr>
  </w:style>
  <w:style w:type="paragraph" w:customStyle="1" w:styleId="Title2">
    <w:name w:val="Title 2"/>
    <w:basedOn w:val="Title"/>
    <w:link w:val="Title2Char"/>
    <w:qFormat/>
    <w:rsid w:val="00AD2EF3"/>
    <w:rPr>
      <w:rFonts w:eastAsia="Calibri"/>
      <w:sz w:val="52"/>
    </w:rPr>
  </w:style>
  <w:style w:type="character" w:customStyle="1" w:styleId="Title2Char">
    <w:name w:val="Title 2 Char"/>
    <w:link w:val="Title2"/>
    <w:rsid w:val="00AD2EF3"/>
    <w:rPr>
      <w:rFonts w:ascii="Calibri Light" w:eastAsia="Calibri" w:hAnsi="Calibri Light" w:cstheme="majorBidi"/>
      <w:caps/>
      <w:color w:val="E40520"/>
      <w:sz w:val="52"/>
      <w:szCs w:val="72"/>
    </w:rPr>
  </w:style>
  <w:style w:type="paragraph" w:customStyle="1" w:styleId="BulletPoint">
    <w:name w:val="BulletPoint"/>
    <w:basedOn w:val="Normal"/>
    <w:link w:val="BulletPointChar"/>
    <w:qFormat/>
    <w:rsid w:val="00AD2EF3"/>
    <w:pPr>
      <w:ind w:left="720" w:hanging="360"/>
    </w:pPr>
    <w:rPr>
      <w:lang w:val="fr-FR"/>
    </w:rPr>
  </w:style>
  <w:style w:type="character" w:customStyle="1" w:styleId="BulletPointChar">
    <w:name w:val="BulletPoint Char"/>
    <w:basedOn w:val="DefaultParagraphFont"/>
    <w:link w:val="BulletPoint"/>
    <w:rsid w:val="00AD2EF3"/>
    <w:rPr>
      <w:rFonts w:ascii="Calibri Light" w:hAnsi="Calibri Light"/>
      <w:color w:val="262626"/>
      <w:sz w:val="22"/>
      <w:lang w:val="fr-FR"/>
    </w:rPr>
  </w:style>
  <w:style w:type="paragraph" w:customStyle="1" w:styleId="numbering">
    <w:name w:val="numbering"/>
    <w:basedOn w:val="BulletPoint"/>
    <w:link w:val="numberingChar"/>
    <w:qFormat/>
    <w:rsid w:val="00AD2EF3"/>
  </w:style>
  <w:style w:type="character" w:customStyle="1" w:styleId="numberingChar">
    <w:name w:val="numbering Char"/>
    <w:basedOn w:val="DefaultParagraphFont"/>
    <w:link w:val="numbering"/>
    <w:rsid w:val="00AD2EF3"/>
    <w:rPr>
      <w:rFonts w:ascii="Calibri Light" w:hAnsi="Calibri Light"/>
      <w:color w:val="262626"/>
      <w:sz w:val="22"/>
      <w:lang w:val="fr-FR"/>
    </w:rPr>
  </w:style>
  <w:style w:type="paragraph" w:customStyle="1" w:styleId="Titre3">
    <w:name w:val="Titre 3"/>
    <w:basedOn w:val="Heading1"/>
    <w:link w:val="Titre3Char"/>
    <w:qFormat/>
    <w:rsid w:val="00AD2EF3"/>
    <w:rPr>
      <w:rFonts w:ascii="Calibri Light" w:eastAsia="Calibri" w:hAnsi="Calibri Light"/>
      <w:sz w:val="48"/>
    </w:rPr>
  </w:style>
  <w:style w:type="character" w:customStyle="1" w:styleId="Titre3Char">
    <w:name w:val="Titre 3 Char"/>
    <w:basedOn w:val="Title2Char"/>
    <w:link w:val="Titre3"/>
    <w:rsid w:val="00AD2EF3"/>
    <w:rPr>
      <w:rFonts w:ascii="Calibri Light" w:eastAsia="Calibri" w:hAnsi="Calibri Light" w:cstheme="majorBidi"/>
      <w:caps/>
      <w:color w:val="E40520"/>
      <w:sz w:val="48"/>
      <w:szCs w:val="46"/>
    </w:rPr>
  </w:style>
  <w:style w:type="character" w:customStyle="1" w:styleId="Heading7Char">
    <w:name w:val="Heading 7 Char"/>
    <w:link w:val="Heading7"/>
    <w:rsid w:val="00AD2EF3"/>
    <w:rPr>
      <w:rFonts w:ascii="Calibri Light" w:hAnsi="Calibri Light"/>
      <w:smallCaps/>
      <w:color w:val="E40520"/>
      <w:spacing w:val="20"/>
      <w:szCs w:val="16"/>
    </w:rPr>
  </w:style>
  <w:style w:type="paragraph" w:styleId="NormalWeb">
    <w:name w:val="Normal (Web)"/>
    <w:basedOn w:val="Normal"/>
    <w:uiPriority w:val="99"/>
    <w:semiHidden/>
    <w:unhideWhenUsed/>
    <w:rsid w:val="006510A8"/>
    <w:pPr>
      <w:spacing w:before="100" w:beforeAutospacing="1" w:after="100" w:afterAutospacing="1" w:line="240" w:lineRule="auto"/>
    </w:pPr>
    <w:rPr>
      <w:rFonts w:ascii="Times New Roman" w:hAnsi="Times New Roman"/>
      <w:color w:val="auto"/>
      <w:sz w:val="24"/>
      <w:szCs w:val="24"/>
      <w:lang w:val="lb-LU" w:eastAsia="lb-LU"/>
    </w:rPr>
  </w:style>
  <w:style w:type="paragraph" w:styleId="ListParagraph">
    <w:name w:val="List Paragraph"/>
    <w:basedOn w:val="Normal"/>
    <w:link w:val="ListParagraphChar"/>
    <w:uiPriority w:val="34"/>
    <w:qFormat/>
    <w:rsid w:val="006510A8"/>
    <w:pPr>
      <w:ind w:left="720"/>
      <w:contextualSpacing/>
    </w:pPr>
  </w:style>
  <w:style w:type="paragraph" w:styleId="BalloonText">
    <w:name w:val="Balloon Text"/>
    <w:basedOn w:val="Normal"/>
    <w:link w:val="BalloonTextChar"/>
    <w:uiPriority w:val="99"/>
    <w:semiHidden/>
    <w:unhideWhenUsed/>
    <w:rsid w:val="008B4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7F9"/>
    <w:rPr>
      <w:rFonts w:ascii="Tahoma" w:hAnsi="Tahoma" w:cs="Tahoma"/>
      <w:color w:val="262626"/>
      <w:sz w:val="16"/>
      <w:szCs w:val="16"/>
      <w:lang w:val="fr-LU"/>
    </w:rPr>
  </w:style>
  <w:style w:type="table" w:styleId="LightShading-Accent6">
    <w:name w:val="Light Shading Accent 6"/>
    <w:basedOn w:val="TableNormal"/>
    <w:uiPriority w:val="60"/>
    <w:rsid w:val="0017184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Header">
    <w:name w:val="header"/>
    <w:basedOn w:val="Normal"/>
    <w:link w:val="HeaderChar"/>
    <w:uiPriority w:val="99"/>
    <w:unhideWhenUsed/>
    <w:rsid w:val="00171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849"/>
    <w:rPr>
      <w:rFonts w:ascii="Calibri Light" w:hAnsi="Calibri Light"/>
      <w:color w:val="262626"/>
      <w:sz w:val="22"/>
      <w:lang w:val="fr-LU"/>
    </w:rPr>
  </w:style>
  <w:style w:type="paragraph" w:styleId="Footer">
    <w:name w:val="footer"/>
    <w:basedOn w:val="Normal"/>
    <w:link w:val="FooterChar"/>
    <w:uiPriority w:val="99"/>
    <w:unhideWhenUsed/>
    <w:rsid w:val="00171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849"/>
    <w:rPr>
      <w:rFonts w:ascii="Calibri Light" w:hAnsi="Calibri Light"/>
      <w:color w:val="262626"/>
      <w:sz w:val="22"/>
      <w:lang w:val="fr-LU"/>
    </w:rPr>
  </w:style>
  <w:style w:type="table" w:styleId="LightShading-Accent3">
    <w:name w:val="Light Shading Accent 3"/>
    <w:basedOn w:val="TableNormal"/>
    <w:uiPriority w:val="60"/>
    <w:rsid w:val="0023778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Hyperlink">
    <w:name w:val="Hyperlink"/>
    <w:basedOn w:val="DefaultParagraphFont"/>
    <w:uiPriority w:val="99"/>
    <w:unhideWhenUsed/>
    <w:rsid w:val="00AC22D4"/>
    <w:rPr>
      <w:color w:val="0563C1" w:themeColor="hyperlink"/>
      <w:u w:val="single"/>
    </w:rPr>
  </w:style>
  <w:style w:type="character" w:styleId="CommentReference">
    <w:name w:val="annotation reference"/>
    <w:basedOn w:val="DefaultParagraphFont"/>
    <w:uiPriority w:val="99"/>
    <w:semiHidden/>
    <w:unhideWhenUsed/>
    <w:rsid w:val="00830F7A"/>
    <w:rPr>
      <w:sz w:val="16"/>
      <w:szCs w:val="16"/>
    </w:rPr>
  </w:style>
  <w:style w:type="paragraph" w:styleId="CommentText">
    <w:name w:val="annotation text"/>
    <w:basedOn w:val="Normal"/>
    <w:link w:val="CommentTextChar"/>
    <w:uiPriority w:val="99"/>
    <w:semiHidden/>
    <w:unhideWhenUsed/>
    <w:rsid w:val="00830F7A"/>
    <w:pPr>
      <w:spacing w:line="240" w:lineRule="auto"/>
    </w:pPr>
    <w:rPr>
      <w:sz w:val="20"/>
    </w:rPr>
  </w:style>
  <w:style w:type="character" w:customStyle="1" w:styleId="CommentTextChar">
    <w:name w:val="Comment Text Char"/>
    <w:basedOn w:val="DefaultParagraphFont"/>
    <w:link w:val="CommentText"/>
    <w:uiPriority w:val="99"/>
    <w:semiHidden/>
    <w:rsid w:val="00830F7A"/>
    <w:rPr>
      <w:rFonts w:ascii="Calibri Light" w:hAnsi="Calibri Light"/>
      <w:color w:val="262626"/>
      <w:lang w:val="fr-LU"/>
    </w:rPr>
  </w:style>
  <w:style w:type="paragraph" w:styleId="CommentSubject">
    <w:name w:val="annotation subject"/>
    <w:basedOn w:val="CommentText"/>
    <w:next w:val="CommentText"/>
    <w:link w:val="CommentSubjectChar"/>
    <w:uiPriority w:val="99"/>
    <w:semiHidden/>
    <w:unhideWhenUsed/>
    <w:rsid w:val="00830F7A"/>
    <w:rPr>
      <w:b/>
      <w:bCs/>
    </w:rPr>
  </w:style>
  <w:style w:type="character" w:customStyle="1" w:styleId="CommentSubjectChar">
    <w:name w:val="Comment Subject Char"/>
    <w:basedOn w:val="CommentTextChar"/>
    <w:link w:val="CommentSubject"/>
    <w:uiPriority w:val="99"/>
    <w:semiHidden/>
    <w:rsid w:val="00830F7A"/>
    <w:rPr>
      <w:rFonts w:ascii="Calibri Light" w:hAnsi="Calibri Light"/>
      <w:b/>
      <w:bCs/>
      <w:color w:val="262626"/>
      <w:lang w:val="fr-LU"/>
    </w:rPr>
  </w:style>
  <w:style w:type="paragraph" w:styleId="FootnoteText">
    <w:name w:val="footnote text"/>
    <w:basedOn w:val="Normal"/>
    <w:link w:val="FootnoteTextChar"/>
    <w:uiPriority w:val="99"/>
    <w:semiHidden/>
    <w:unhideWhenUsed/>
    <w:rsid w:val="000D3A79"/>
    <w:pPr>
      <w:spacing w:after="0" w:line="240" w:lineRule="auto"/>
    </w:pPr>
    <w:rPr>
      <w:sz w:val="20"/>
    </w:rPr>
  </w:style>
  <w:style w:type="character" w:customStyle="1" w:styleId="FootnoteTextChar">
    <w:name w:val="Footnote Text Char"/>
    <w:basedOn w:val="DefaultParagraphFont"/>
    <w:link w:val="FootnoteText"/>
    <w:uiPriority w:val="99"/>
    <w:semiHidden/>
    <w:rsid w:val="000D3A79"/>
    <w:rPr>
      <w:rFonts w:ascii="Calibri Light" w:hAnsi="Calibri Light"/>
      <w:color w:val="262626"/>
      <w:lang w:val="fr-LU"/>
    </w:rPr>
  </w:style>
  <w:style w:type="character" w:styleId="FootnoteReference">
    <w:name w:val="footnote reference"/>
    <w:basedOn w:val="DefaultParagraphFont"/>
    <w:uiPriority w:val="99"/>
    <w:semiHidden/>
    <w:unhideWhenUsed/>
    <w:rsid w:val="000D3A79"/>
    <w:rPr>
      <w:vertAlign w:val="superscript"/>
    </w:rPr>
  </w:style>
  <w:style w:type="paragraph" w:customStyle="1" w:styleId="Default">
    <w:name w:val="Default"/>
    <w:rsid w:val="00541DDC"/>
    <w:pPr>
      <w:autoSpaceDE w:val="0"/>
      <w:autoSpaceDN w:val="0"/>
      <w:adjustRightInd w:val="0"/>
    </w:pPr>
    <w:rPr>
      <w:rFonts w:ascii="Sofia Pro Soft Light" w:hAnsi="Sofia Pro Soft Light" w:cs="Sofia Pro Soft Light"/>
      <w:color w:val="000000"/>
      <w:sz w:val="24"/>
      <w:szCs w:val="24"/>
    </w:rPr>
  </w:style>
  <w:style w:type="character" w:customStyle="1" w:styleId="A0">
    <w:name w:val="A0"/>
    <w:uiPriority w:val="99"/>
    <w:rsid w:val="00541DDC"/>
    <w:rPr>
      <w:rFonts w:cs="Sofia Pro Soft Light"/>
      <w:color w:val="000000"/>
      <w:sz w:val="19"/>
      <w:szCs w:val="19"/>
    </w:rPr>
  </w:style>
  <w:style w:type="character" w:customStyle="1" w:styleId="UnresolvedMention">
    <w:name w:val="Unresolved Mention"/>
    <w:basedOn w:val="DefaultParagraphFont"/>
    <w:uiPriority w:val="99"/>
    <w:semiHidden/>
    <w:unhideWhenUsed/>
    <w:rsid w:val="00217572"/>
    <w:rPr>
      <w:color w:val="605E5C"/>
      <w:shd w:val="clear" w:color="auto" w:fill="E1DFDD"/>
    </w:rPr>
  </w:style>
  <w:style w:type="character" w:customStyle="1" w:styleId="ListParagraphChar">
    <w:name w:val="List Paragraph Char"/>
    <w:link w:val="ListParagraph"/>
    <w:uiPriority w:val="34"/>
    <w:locked/>
    <w:rsid w:val="00B56F85"/>
    <w:rPr>
      <w:rFonts w:ascii="Calibri Light" w:hAnsi="Calibri Light"/>
      <w:color w:val="262626"/>
      <w:sz w:val="22"/>
      <w:lang w:val="fr-LU"/>
    </w:rPr>
  </w:style>
  <w:style w:type="character" w:customStyle="1" w:styleId="tlid-translation">
    <w:name w:val="tlid-translation"/>
    <w:basedOn w:val="DefaultParagraphFont"/>
    <w:rsid w:val="007B7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1306">
      <w:bodyDiv w:val="1"/>
      <w:marLeft w:val="0"/>
      <w:marRight w:val="0"/>
      <w:marTop w:val="0"/>
      <w:marBottom w:val="0"/>
      <w:divBdr>
        <w:top w:val="none" w:sz="0" w:space="0" w:color="auto"/>
        <w:left w:val="none" w:sz="0" w:space="0" w:color="auto"/>
        <w:bottom w:val="none" w:sz="0" w:space="0" w:color="auto"/>
        <w:right w:val="none" w:sz="0" w:space="0" w:color="auto"/>
      </w:divBdr>
    </w:div>
    <w:div w:id="1441485213">
      <w:bodyDiv w:val="1"/>
      <w:marLeft w:val="0"/>
      <w:marRight w:val="0"/>
      <w:marTop w:val="0"/>
      <w:marBottom w:val="0"/>
      <w:divBdr>
        <w:top w:val="none" w:sz="0" w:space="0" w:color="auto"/>
        <w:left w:val="none" w:sz="0" w:space="0" w:color="auto"/>
        <w:bottom w:val="none" w:sz="0" w:space="0" w:color="auto"/>
        <w:right w:val="none" w:sz="0" w:space="0" w:color="auto"/>
      </w:divBdr>
      <w:divsChild>
        <w:div w:id="2047366636">
          <w:marLeft w:val="547"/>
          <w:marRight w:val="0"/>
          <w:marTop w:val="115"/>
          <w:marBottom w:val="0"/>
          <w:divBdr>
            <w:top w:val="none" w:sz="0" w:space="0" w:color="auto"/>
            <w:left w:val="none" w:sz="0" w:space="0" w:color="auto"/>
            <w:bottom w:val="none" w:sz="0" w:space="0" w:color="auto"/>
            <w:right w:val="none" w:sz="0" w:space="0" w:color="auto"/>
          </w:divBdr>
        </w:div>
      </w:divsChild>
    </w:div>
    <w:div w:id="19972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vironnement.public.lu/fr/offall-ressourcen/types-de-dechets/Dechets_menagers_encombrants_et_assimil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Déchets alimentaires évitables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Vermeidbare Lebensmittelabfälle 2019
</c:v>
                </c:pt>
              </c:strCache>
            </c:strRef>
          </c:tx>
          <c:dPt>
            <c:idx val="0"/>
            <c:bubble3D val="0"/>
            <c:spPr>
              <a:solidFill>
                <a:schemeClr val="accent6">
                  <a:tint val="40000"/>
                </a:schemeClr>
              </a:solidFill>
              <a:ln w="19050">
                <a:solidFill>
                  <a:schemeClr val="lt1"/>
                </a:solidFill>
              </a:ln>
              <a:effectLst/>
            </c:spPr>
            <c:extLst>
              <c:ext xmlns:c16="http://schemas.microsoft.com/office/drawing/2014/chart" uri="{C3380CC4-5D6E-409C-BE32-E72D297353CC}">
                <c16:uniqueId val="{00000001-980A-4379-A8F3-39CD6896A9B0}"/>
              </c:ext>
            </c:extLst>
          </c:dPt>
          <c:dPt>
            <c:idx val="1"/>
            <c:bubble3D val="0"/>
            <c:spPr>
              <a:solidFill>
                <a:schemeClr val="accent6">
                  <a:tint val="50000"/>
                </a:schemeClr>
              </a:solidFill>
              <a:ln w="19050">
                <a:solidFill>
                  <a:schemeClr val="lt1"/>
                </a:solidFill>
              </a:ln>
              <a:effectLst/>
            </c:spPr>
            <c:extLst>
              <c:ext xmlns:c16="http://schemas.microsoft.com/office/drawing/2014/chart" uri="{C3380CC4-5D6E-409C-BE32-E72D297353CC}">
                <c16:uniqueId val="{00000003-980A-4379-A8F3-39CD6896A9B0}"/>
              </c:ext>
            </c:extLst>
          </c:dPt>
          <c:dPt>
            <c:idx val="2"/>
            <c:bubble3D val="0"/>
            <c:spPr>
              <a:solidFill>
                <a:schemeClr val="accent6">
                  <a:tint val="60000"/>
                </a:schemeClr>
              </a:solidFill>
              <a:ln w="19050">
                <a:solidFill>
                  <a:schemeClr val="lt1"/>
                </a:solidFill>
              </a:ln>
              <a:effectLst/>
            </c:spPr>
            <c:extLst>
              <c:ext xmlns:c16="http://schemas.microsoft.com/office/drawing/2014/chart" uri="{C3380CC4-5D6E-409C-BE32-E72D297353CC}">
                <c16:uniqueId val="{00000005-980A-4379-A8F3-39CD6896A9B0}"/>
              </c:ext>
            </c:extLst>
          </c:dPt>
          <c:dPt>
            <c:idx val="3"/>
            <c:bubble3D val="0"/>
            <c:spPr>
              <a:solidFill>
                <a:schemeClr val="accent6">
                  <a:tint val="70000"/>
                </a:schemeClr>
              </a:solidFill>
              <a:ln w="19050">
                <a:solidFill>
                  <a:schemeClr val="lt1"/>
                </a:solidFill>
              </a:ln>
              <a:effectLst/>
            </c:spPr>
            <c:extLst>
              <c:ext xmlns:c16="http://schemas.microsoft.com/office/drawing/2014/chart" uri="{C3380CC4-5D6E-409C-BE32-E72D297353CC}">
                <c16:uniqueId val="{00000007-980A-4379-A8F3-39CD6896A9B0}"/>
              </c:ext>
            </c:extLst>
          </c:dPt>
          <c:dPt>
            <c:idx val="4"/>
            <c:bubble3D val="0"/>
            <c:spPr>
              <a:solidFill>
                <a:schemeClr val="accent6">
                  <a:tint val="80000"/>
                </a:schemeClr>
              </a:solidFill>
              <a:ln w="19050">
                <a:solidFill>
                  <a:schemeClr val="lt1"/>
                </a:solidFill>
              </a:ln>
              <a:effectLst/>
            </c:spPr>
            <c:extLst>
              <c:ext xmlns:c16="http://schemas.microsoft.com/office/drawing/2014/chart" uri="{C3380CC4-5D6E-409C-BE32-E72D297353CC}">
                <c16:uniqueId val="{00000009-980A-4379-A8F3-39CD6896A9B0}"/>
              </c:ext>
            </c:extLst>
          </c:dPt>
          <c:dPt>
            <c:idx val="5"/>
            <c:bubble3D val="0"/>
            <c:spPr>
              <a:solidFill>
                <a:schemeClr val="accent6">
                  <a:tint val="90000"/>
                </a:schemeClr>
              </a:solidFill>
              <a:ln w="19050">
                <a:solidFill>
                  <a:schemeClr val="lt1"/>
                </a:solidFill>
              </a:ln>
              <a:effectLst/>
            </c:spPr>
            <c:extLst>
              <c:ext xmlns:c16="http://schemas.microsoft.com/office/drawing/2014/chart" uri="{C3380CC4-5D6E-409C-BE32-E72D297353CC}">
                <c16:uniqueId val="{0000000B-980A-4379-A8F3-39CD6896A9B0}"/>
              </c:ext>
            </c:extLst>
          </c:dPt>
          <c:dPt>
            <c:idx val="6"/>
            <c:bubble3D val="0"/>
            <c:spPr>
              <a:solidFill>
                <a:schemeClr val="accent6"/>
              </a:solidFill>
              <a:ln w="19050">
                <a:solidFill>
                  <a:schemeClr val="lt1"/>
                </a:solidFill>
              </a:ln>
              <a:effectLst/>
            </c:spPr>
            <c:extLst>
              <c:ext xmlns:c16="http://schemas.microsoft.com/office/drawing/2014/chart" uri="{C3380CC4-5D6E-409C-BE32-E72D297353CC}">
                <c16:uniqueId val="{0000000D-980A-4379-A8F3-39CD6896A9B0}"/>
              </c:ext>
            </c:extLst>
          </c:dPt>
          <c:dPt>
            <c:idx val="7"/>
            <c:bubble3D val="0"/>
            <c:spPr>
              <a:solidFill>
                <a:schemeClr val="accent6">
                  <a:shade val="90000"/>
                </a:schemeClr>
              </a:solidFill>
              <a:ln w="19050">
                <a:solidFill>
                  <a:schemeClr val="lt1"/>
                </a:solidFill>
              </a:ln>
              <a:effectLst/>
            </c:spPr>
            <c:extLst>
              <c:ext xmlns:c16="http://schemas.microsoft.com/office/drawing/2014/chart" uri="{C3380CC4-5D6E-409C-BE32-E72D297353CC}">
                <c16:uniqueId val="{0000000F-980A-4379-A8F3-39CD6896A9B0}"/>
              </c:ext>
            </c:extLst>
          </c:dPt>
          <c:dPt>
            <c:idx val="8"/>
            <c:bubble3D val="0"/>
            <c:spPr>
              <a:solidFill>
                <a:schemeClr val="accent6">
                  <a:shade val="80000"/>
                </a:schemeClr>
              </a:solidFill>
              <a:ln w="19050">
                <a:solidFill>
                  <a:schemeClr val="lt1"/>
                </a:solidFill>
              </a:ln>
              <a:effectLst/>
            </c:spPr>
            <c:extLst>
              <c:ext xmlns:c16="http://schemas.microsoft.com/office/drawing/2014/chart" uri="{C3380CC4-5D6E-409C-BE32-E72D297353CC}">
                <c16:uniqueId val="{00000011-980A-4379-A8F3-39CD6896A9B0}"/>
              </c:ext>
            </c:extLst>
          </c:dPt>
          <c:dPt>
            <c:idx val="9"/>
            <c:bubble3D val="0"/>
            <c:spPr>
              <a:solidFill>
                <a:schemeClr val="accent6">
                  <a:shade val="70000"/>
                </a:schemeClr>
              </a:solidFill>
              <a:ln w="19050">
                <a:solidFill>
                  <a:schemeClr val="lt1"/>
                </a:solidFill>
              </a:ln>
              <a:effectLst/>
            </c:spPr>
            <c:extLst>
              <c:ext xmlns:c16="http://schemas.microsoft.com/office/drawing/2014/chart" uri="{C3380CC4-5D6E-409C-BE32-E72D297353CC}">
                <c16:uniqueId val="{00000013-980A-4379-A8F3-39CD6896A9B0}"/>
              </c:ext>
            </c:extLst>
          </c:dPt>
          <c:dPt>
            <c:idx val="10"/>
            <c:bubble3D val="0"/>
            <c:spPr>
              <a:solidFill>
                <a:schemeClr val="accent6">
                  <a:shade val="60000"/>
                </a:schemeClr>
              </a:solidFill>
              <a:ln w="19050">
                <a:solidFill>
                  <a:schemeClr val="lt1"/>
                </a:solidFill>
              </a:ln>
              <a:effectLst/>
            </c:spPr>
            <c:extLst>
              <c:ext xmlns:c16="http://schemas.microsoft.com/office/drawing/2014/chart" uri="{C3380CC4-5D6E-409C-BE32-E72D297353CC}">
                <c16:uniqueId val="{00000015-980A-4379-A8F3-39CD6896A9B0}"/>
              </c:ext>
            </c:extLst>
          </c:dPt>
          <c:dPt>
            <c:idx val="11"/>
            <c:bubble3D val="0"/>
            <c:spPr>
              <a:solidFill>
                <a:schemeClr val="accent6">
                  <a:shade val="50000"/>
                </a:schemeClr>
              </a:solidFill>
              <a:ln w="19050">
                <a:solidFill>
                  <a:schemeClr val="lt1"/>
                </a:solidFill>
              </a:ln>
              <a:effectLst/>
            </c:spPr>
            <c:extLst>
              <c:ext xmlns:c16="http://schemas.microsoft.com/office/drawing/2014/chart" uri="{C3380CC4-5D6E-409C-BE32-E72D297353CC}">
                <c16:uniqueId val="{00000017-980A-4379-A8F3-39CD6896A9B0}"/>
              </c:ext>
            </c:extLst>
          </c:dPt>
          <c:dPt>
            <c:idx val="12"/>
            <c:bubble3D val="0"/>
            <c:spPr>
              <a:solidFill>
                <a:schemeClr val="accent6">
                  <a:shade val="40000"/>
                </a:schemeClr>
              </a:solidFill>
              <a:ln w="19050">
                <a:solidFill>
                  <a:schemeClr val="lt1"/>
                </a:solidFill>
              </a:ln>
              <a:effectLst/>
            </c:spPr>
            <c:extLst>
              <c:ext xmlns:c16="http://schemas.microsoft.com/office/drawing/2014/chart" uri="{C3380CC4-5D6E-409C-BE32-E72D297353CC}">
                <c16:uniqueId val="{00000019-980A-4379-A8F3-39CD6896A9B0}"/>
              </c:ext>
            </c:extLst>
          </c:dPt>
          <c:dLbls>
            <c:dLbl>
              <c:idx val="0"/>
              <c:tx>
                <c:rich>
                  <a:bodyPr rot="0" spcFirstLastPara="1" vertOverflow="clip" horzOverflow="clip"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65000"/>
                            <a:lumOff val="35000"/>
                          </a:sysClr>
                        </a:solidFill>
                        <a:latin typeface="+mn-lt"/>
                        <a:ea typeface="+mn-ea"/>
                        <a:cs typeface="+mn-cs"/>
                      </a:defRPr>
                    </a:pPr>
                    <a:r>
                      <a:rPr lang="en-US" b="0"/>
                      <a:t>Pain et de produits de boulangerie</a:t>
                    </a:r>
                    <a:r>
                      <a:rPr lang="en-US" b="0" baseline="0"/>
                      <a:t>; </a:t>
                    </a:r>
                    <a:fld id="{DE421DE6-9B28-4BBF-9FDA-09A3B112D92C}" type="PERCENTAGE">
                      <a:rPr lang="en-US" baseline="0"/>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t>[PERCENTAGE]</a:t>
                    </a:fld>
                    <a:endParaRPr lang="en-US" b="0"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65000"/>
                          <a:lumOff val="35000"/>
                        </a:sys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1-980A-4379-A8F3-39CD6896A9B0}"/>
                </c:ext>
              </c:extLst>
            </c:dLbl>
            <c:dLbl>
              <c:idx val="1"/>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Aliments</a:t>
                    </a:r>
                    <a:r>
                      <a:rPr lang="en-US" baseline="0"/>
                      <a:t> emballés (</a:t>
                    </a:r>
                    <a:r>
                      <a:rPr lang="en-US" sz="900" b="0" i="0" u="none" strike="noStrike" baseline="0"/>
                      <a:t>DDM</a:t>
                    </a:r>
                    <a:r>
                      <a:rPr lang="en-US" baseline="0"/>
                      <a:t> expirée) ; </a:t>
                    </a:r>
                    <a:fld id="{0B69921E-6E78-4995-B44D-7BE716A35207}" type="PERCENTAGE">
                      <a:rPr lang="en-US" baseline="0"/>
                      <a:pPr>
                        <a:defRPr/>
                      </a:pPr>
                      <a:t>[PERCENTAGE]</a:t>
                    </a:fld>
                    <a:endParaRPr lang="en-US"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3-980A-4379-A8F3-39CD6896A9B0}"/>
                </c:ext>
              </c:extLst>
            </c:dLbl>
            <c:dLbl>
              <c:idx val="2"/>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Viande</a:t>
                    </a:r>
                    <a:r>
                      <a:rPr lang="en-US" baseline="0"/>
                      <a:t>; </a:t>
                    </a:r>
                    <a:fld id="{D36839AC-7E7F-4F36-B519-564120A298B5}" type="PERCENTAGE">
                      <a:rPr lang="en-US" baseline="0"/>
                      <a:pPr>
                        <a:defRPr/>
                      </a:pPr>
                      <a:t>[PERCENTAGE]</a:t>
                    </a:fld>
                    <a:endParaRPr lang="en-US"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5-980A-4379-A8F3-39CD6896A9B0}"/>
                </c:ext>
              </c:extLst>
            </c:dLbl>
            <c:dLbl>
              <c:idx val="3"/>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Fruits</a:t>
                    </a:r>
                    <a:r>
                      <a:rPr lang="en-US" baseline="0"/>
                      <a:t> et légumes (entiers); </a:t>
                    </a:r>
                    <a:fld id="{A3A1B3FA-9D5F-4AE9-B018-7AEF4BF19AE7}" type="PERCENTAGE">
                      <a:rPr lang="en-US" baseline="0"/>
                      <a:pPr>
                        <a:defRPr/>
                      </a:pPr>
                      <a:t>[PERCENTAGE]</a:t>
                    </a:fld>
                    <a:endParaRPr lang="en-US"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7-980A-4379-A8F3-39CD6896A9B0}"/>
                </c:ext>
              </c:extLst>
            </c:dLbl>
            <c:dLbl>
              <c:idx val="4"/>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Fruits et légumes (parties)</a:t>
                    </a:r>
                    <a:r>
                      <a:rPr lang="en-US" baseline="0"/>
                      <a:t>; </a:t>
                    </a:r>
                    <a:fld id="{4011A56F-D55B-4C7C-92E0-DA763A10FA3C}" type="PERCENTAGE">
                      <a:rPr lang="en-US" baseline="0"/>
                      <a:pPr>
                        <a:defRPr/>
                      </a:pPr>
                      <a:t>[PERCENTAGE]</a:t>
                    </a:fld>
                    <a:endParaRPr lang="en-US"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9-980A-4379-A8F3-39CD6896A9B0}"/>
                </c:ext>
              </c:extLst>
            </c:dLbl>
            <c:dLbl>
              <c:idx val="5"/>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Non identifiable</a:t>
                    </a:r>
                    <a:r>
                      <a:rPr lang="en-US" baseline="0"/>
                      <a:t>; </a:t>
                    </a:r>
                    <a:fld id="{1A658B5C-84F7-45B6-B945-D05242782856}" type="PERCENTAGE">
                      <a:rPr lang="en-US" baseline="0"/>
                      <a:pPr>
                        <a:defRPr/>
                      </a:pPr>
                      <a:t>[PERCENTAGE]</a:t>
                    </a:fld>
                    <a:endParaRPr lang="en-US"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B-980A-4379-A8F3-39CD6896A9B0}"/>
                </c:ext>
              </c:extLst>
            </c:dLbl>
            <c:dLbl>
              <c:idx val="6"/>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Produits laitiers</a:t>
                    </a:r>
                    <a:r>
                      <a:rPr lang="en-US" baseline="0"/>
                      <a:t>; </a:t>
                    </a:r>
                    <a:fld id="{43BF58D9-B249-40AA-9874-3067CDD1A60C}" type="PERCENTAGE">
                      <a:rPr lang="en-US" baseline="0"/>
                      <a:pPr>
                        <a:defRPr/>
                      </a:pPr>
                      <a:t>[PERCENTAGE]</a:t>
                    </a:fld>
                    <a:endParaRPr lang="en-US"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D-980A-4379-A8F3-39CD6896A9B0}"/>
                </c:ext>
              </c:extLst>
            </c:dLbl>
            <c:dLbl>
              <c:idx val="7"/>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sz="900" b="0" i="0" u="none" strike="noStrike" baseline="0"/>
                      <a:t>Résidus alimentaires</a:t>
                    </a:r>
                    <a:r>
                      <a:rPr lang="en-US" baseline="0"/>
                      <a:t>; </a:t>
                    </a:r>
                    <a:fld id="{2866F051-FF6B-4A18-AA98-AEB2E01466E5}" type="PERCENTAGE">
                      <a:rPr lang="en-US" baseline="0"/>
                      <a:pPr>
                        <a:defRPr/>
                      </a:pPr>
                      <a:t>[PERCENTAGE]</a:t>
                    </a:fld>
                    <a:endParaRPr lang="en-US"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F-980A-4379-A8F3-39CD6896A9B0}"/>
                </c:ext>
              </c:extLst>
            </c:dLbl>
            <c:dLbl>
              <c:idx val="8"/>
              <c:layout>
                <c:manualLayout>
                  <c:x val="6.8159701191197256E-2"/>
                  <c:y val="-6.2601732472451765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Boissons</a:t>
                    </a:r>
                    <a:r>
                      <a:rPr lang="en-US" baseline="0"/>
                      <a:t>; </a:t>
                    </a:r>
                    <a:fld id="{DC7A0E61-4FDF-445B-9C27-B539516A0108}" type="PERCENTAGE">
                      <a:rPr lang="en-US" baseline="0"/>
                      <a:pPr>
                        <a:defRPr/>
                      </a:pPr>
                      <a:t>[PERCENTAGE]</a:t>
                    </a:fld>
                    <a:endParaRPr lang="en-US"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11-980A-4379-A8F3-39CD6896A9B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0"/>
            <c:showBubbleSize val="0"/>
            <c:extLst>
              <c:ext xmlns:c15="http://schemas.microsoft.com/office/drawing/2012/chart" uri="{CE6537A1-D6FC-4f65-9D91-7224C49458BB}"/>
            </c:extLst>
          </c:dLbls>
          <c:cat>
            <c:strRef>
              <c:f>Sheet1!$A$2:$A$14</c:f>
              <c:strCache>
                <c:ptCount val="13"/>
                <c:pt idx="0">
                  <c:v>Brot-und Backwaren</c:v>
                </c:pt>
                <c:pt idx="1">
                  <c:v>Verpackte Lebensmittel (MDH abgelaufen)</c:v>
                </c:pt>
                <c:pt idx="2">
                  <c:v>Fleisch</c:v>
                </c:pt>
                <c:pt idx="3">
                  <c:v>Obst und Gemüse (ganz)</c:v>
                </c:pt>
                <c:pt idx="4">
                  <c:v>Teile von Obst und Gemüse</c:v>
                </c:pt>
                <c:pt idx="5">
                  <c:v>Nicht identifizierbar </c:v>
                </c:pt>
                <c:pt idx="6">
                  <c:v>Milchprodukte </c:v>
                </c:pt>
                <c:pt idx="7">
                  <c:v>Speisereste </c:v>
                </c:pt>
                <c:pt idx="8">
                  <c:v>Getränke</c:v>
                </c:pt>
                <c:pt idx="9">
                  <c:v>Milch </c:v>
                </c:pt>
                <c:pt idx="10">
                  <c:v>Fisch </c:v>
                </c:pt>
                <c:pt idx="11">
                  <c:v>Verpackte Lebensmittel (MDH nicht abgelaufen)</c:v>
                </c:pt>
                <c:pt idx="12">
                  <c:v>Fast aufgebrauchte Lebensmittel mit Verpackung</c:v>
                </c:pt>
              </c:strCache>
            </c:strRef>
          </c:cat>
          <c:val>
            <c:numRef>
              <c:f>Sheet1!$B$2:$B$14</c:f>
              <c:numCache>
                <c:formatCode>0%</c:formatCode>
                <c:ptCount val="13"/>
                <c:pt idx="0">
                  <c:v>0.3</c:v>
                </c:pt>
                <c:pt idx="1">
                  <c:v>0.15</c:v>
                </c:pt>
                <c:pt idx="2">
                  <c:v>0.14000000000000001</c:v>
                </c:pt>
                <c:pt idx="3">
                  <c:v>0.1</c:v>
                </c:pt>
                <c:pt idx="4">
                  <c:v>0.05</c:v>
                </c:pt>
                <c:pt idx="5">
                  <c:v>0.09</c:v>
                </c:pt>
                <c:pt idx="6">
                  <c:v>7.0000000000000007E-2</c:v>
                </c:pt>
                <c:pt idx="7">
                  <c:v>0.04</c:v>
                </c:pt>
                <c:pt idx="8">
                  <c:v>0.02</c:v>
                </c:pt>
                <c:pt idx="9">
                  <c:v>0.01</c:v>
                </c:pt>
                <c:pt idx="10">
                  <c:v>0.01</c:v>
                </c:pt>
                <c:pt idx="11">
                  <c:v>0.01</c:v>
                </c:pt>
                <c:pt idx="12">
                  <c:v>0.01</c:v>
                </c:pt>
              </c:numCache>
            </c:numRef>
          </c:val>
          <c:extLst>
            <c:ext xmlns:c16="http://schemas.microsoft.com/office/drawing/2014/chart" uri="{C3380CC4-5D6E-409C-BE32-E72D297353CC}">
              <c16:uniqueId val="{0000001A-980A-4379-A8F3-39CD6896A9B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9F975-1EA3-4397-B8E4-B2F88EAD73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9D96E9-D975-4986-916C-3D9D17EC5BAD}">
  <ds:schemaRefs>
    <ds:schemaRef ds:uri="http://schemas.microsoft.com/sharepoint/v3/contenttype/forms"/>
  </ds:schemaRefs>
</ds:datastoreItem>
</file>

<file path=customXml/itemProps3.xml><?xml version="1.0" encoding="utf-8"?>
<ds:datastoreItem xmlns:ds="http://schemas.openxmlformats.org/officeDocument/2006/customXml" ds:itemID="{6DA22DAB-D912-4583-970B-F3626AF21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935C8D-C579-4A17-87B1-6CBDF20F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4539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CTIE</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Dengler</dc:creator>
  <cp:keywords/>
  <cp:lastModifiedBy>Christine Bovi</cp:lastModifiedBy>
  <cp:revision>2</cp:revision>
  <dcterms:created xsi:type="dcterms:W3CDTF">2020-09-22T15:00:00Z</dcterms:created>
  <dcterms:modified xsi:type="dcterms:W3CDTF">2020-09-22T15:00:00Z</dcterms:modified>
</cp:coreProperties>
</file>