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A017" w14:textId="52068597" w:rsidR="00171849" w:rsidRPr="008B797C" w:rsidRDefault="00A959F2" w:rsidP="00A429E6">
      <w:pPr>
        <w:pStyle w:val="Subtitle"/>
        <w:spacing w:after="0" w:line="240" w:lineRule="auto"/>
        <w:rPr>
          <w:lang w:val="de-DE"/>
        </w:rPr>
      </w:pPr>
      <w:bookmarkStart w:id="0" w:name="_GoBack"/>
      <w:bookmarkEnd w:id="0"/>
      <w:r>
        <w:rPr>
          <w:lang w:val="de-DE"/>
        </w:rPr>
        <w:t>PRESSEMITTEILUNG</w:t>
      </w:r>
    </w:p>
    <w:p w14:paraId="2232AA03" w14:textId="77777777" w:rsidR="005D7450" w:rsidRDefault="005D7450" w:rsidP="000E119D">
      <w:pPr>
        <w:spacing w:after="0"/>
        <w:rPr>
          <w:rFonts w:eastAsia="Calibri" w:cstheme="majorBidi"/>
          <w:caps/>
          <w:color w:val="auto"/>
          <w:szCs w:val="22"/>
          <w:lang w:val="de-DE"/>
        </w:rPr>
      </w:pPr>
      <w:r w:rsidRPr="005D7450">
        <w:rPr>
          <w:rFonts w:eastAsia="Calibri" w:cstheme="majorBidi"/>
          <w:caps/>
          <w:color w:val="auto"/>
          <w:szCs w:val="22"/>
          <w:lang w:val="de-DE"/>
        </w:rPr>
        <w:t>22.09.2020</w:t>
      </w:r>
    </w:p>
    <w:p w14:paraId="00C809AF" w14:textId="77777777" w:rsidR="005D7450" w:rsidRPr="005D7450" w:rsidRDefault="005D7450" w:rsidP="000E119D">
      <w:pPr>
        <w:spacing w:after="0"/>
        <w:rPr>
          <w:rFonts w:eastAsia="Calibri" w:cstheme="majorBidi"/>
          <w:caps/>
          <w:color w:val="E40520"/>
          <w:sz w:val="18"/>
          <w:szCs w:val="18"/>
          <w:lang w:val="de-DE"/>
        </w:rPr>
      </w:pPr>
    </w:p>
    <w:p w14:paraId="667C486A" w14:textId="7A78A111" w:rsidR="003B5539" w:rsidRPr="005D7450" w:rsidRDefault="008C0B12" w:rsidP="000E119D">
      <w:pPr>
        <w:spacing w:after="0"/>
        <w:rPr>
          <w:rFonts w:eastAsia="Calibri" w:cstheme="majorBidi"/>
          <w:caps/>
          <w:color w:val="auto"/>
          <w:szCs w:val="22"/>
          <w:lang w:val="de-DE"/>
        </w:rPr>
      </w:pPr>
      <w:r w:rsidRPr="008C0B12">
        <w:rPr>
          <w:rFonts w:eastAsia="Calibri" w:cstheme="majorBidi"/>
          <w:caps/>
          <w:color w:val="E40520"/>
          <w:sz w:val="48"/>
          <w:szCs w:val="72"/>
          <w:lang w:val="de-DE"/>
        </w:rPr>
        <w:t xml:space="preserve">Lebensmittelabfälle im </w:t>
      </w:r>
      <w:r w:rsidR="00531027" w:rsidRPr="008C0B12">
        <w:rPr>
          <w:rFonts w:eastAsia="Calibri" w:cstheme="majorBidi"/>
          <w:caps/>
          <w:color w:val="E40520"/>
          <w:sz w:val="48"/>
          <w:szCs w:val="72"/>
          <w:lang w:val="de-DE"/>
        </w:rPr>
        <w:t>Großherzogtum</w:t>
      </w:r>
      <w:r w:rsidRPr="008C0B12">
        <w:rPr>
          <w:rFonts w:eastAsia="Calibri" w:cstheme="majorBidi"/>
          <w:caps/>
          <w:color w:val="E40520"/>
          <w:sz w:val="48"/>
          <w:szCs w:val="72"/>
          <w:lang w:val="de-DE"/>
        </w:rPr>
        <w:t xml:space="preserve"> Luxemburg -  STUDIENERGEBNISSE 2018/2019</w:t>
      </w:r>
    </w:p>
    <w:p w14:paraId="25B32C6A" w14:textId="77777777" w:rsidR="008C0B12" w:rsidRPr="008C0B12" w:rsidRDefault="008C0B12" w:rsidP="000E119D">
      <w:pPr>
        <w:spacing w:after="0"/>
        <w:rPr>
          <w:sz w:val="20"/>
          <w:lang w:val="de-DE"/>
        </w:rPr>
      </w:pPr>
    </w:p>
    <w:p w14:paraId="2D464328" w14:textId="539DABC7" w:rsidR="005F558B" w:rsidRDefault="00071D18" w:rsidP="0013547F">
      <w:pPr>
        <w:rPr>
          <w:lang w:val="de-DE"/>
        </w:rPr>
      </w:pPr>
      <w:r>
        <w:rPr>
          <w:lang w:val="de-DE"/>
        </w:rPr>
        <w:t xml:space="preserve">Wie viele Lebensmittel landen in Luxemburg jedes Jahr im </w:t>
      </w:r>
      <w:r w:rsidR="0041138F">
        <w:rPr>
          <w:lang w:val="de-DE"/>
        </w:rPr>
        <w:t>M</w:t>
      </w:r>
      <w:r>
        <w:rPr>
          <w:lang w:val="de-DE"/>
        </w:rPr>
        <w:t xml:space="preserve">üll? Um diese Frage zu beantworten, </w:t>
      </w:r>
      <w:r w:rsidR="00B37B10">
        <w:rPr>
          <w:lang w:val="de-DE"/>
        </w:rPr>
        <w:t>führt die Umweltverwaltung,</w:t>
      </w:r>
      <w:r w:rsidR="002B761B">
        <w:rPr>
          <w:lang w:val="de-DE"/>
        </w:rPr>
        <w:t xml:space="preserve"> in Z</w:t>
      </w:r>
      <w:r w:rsidR="00B37B10">
        <w:rPr>
          <w:lang w:val="de-DE"/>
        </w:rPr>
        <w:t>usamm</w:t>
      </w:r>
      <w:r w:rsidR="00531027">
        <w:rPr>
          <w:lang w:val="de-DE"/>
        </w:rPr>
        <w:t>en</w:t>
      </w:r>
      <w:r w:rsidR="002B761B">
        <w:rPr>
          <w:lang w:val="de-DE"/>
        </w:rPr>
        <w:t>arbeit</w:t>
      </w:r>
      <w:r w:rsidR="00B37B10">
        <w:rPr>
          <w:lang w:val="de-DE"/>
        </w:rPr>
        <w:t xml:space="preserve"> mit Eco-Conseil sàr</w:t>
      </w:r>
      <w:r w:rsidR="002B761B">
        <w:rPr>
          <w:lang w:val="de-DE"/>
        </w:rPr>
        <w:t>l,</w:t>
      </w:r>
      <w:r w:rsidR="007457CD">
        <w:rPr>
          <w:lang w:val="de-DE"/>
        </w:rPr>
        <w:t xml:space="preserve"> </w:t>
      </w:r>
      <w:r>
        <w:rPr>
          <w:lang w:val="de-DE"/>
        </w:rPr>
        <w:t xml:space="preserve">seit 2013 </w:t>
      </w:r>
      <w:r w:rsidR="007457CD">
        <w:rPr>
          <w:lang w:val="de-DE"/>
        </w:rPr>
        <w:t xml:space="preserve">die Studie „Aufkommen, Behandlung und Vermeidung von Lebensmittelabfällen“ in Luxemburg durch. </w:t>
      </w:r>
      <w:r w:rsidR="00640AFA">
        <w:rPr>
          <w:lang w:val="de-DE"/>
        </w:rPr>
        <w:t>Um</w:t>
      </w:r>
      <w:r w:rsidR="008C0B12">
        <w:rPr>
          <w:lang w:val="de-DE"/>
        </w:rPr>
        <w:t xml:space="preserve"> zu verstehen, welche Lebensmittel wo genau </w:t>
      </w:r>
      <w:r w:rsidR="0041138F">
        <w:rPr>
          <w:lang w:val="de-DE"/>
        </w:rPr>
        <w:t>im Abfall</w:t>
      </w:r>
      <w:r w:rsidR="008C0B12">
        <w:rPr>
          <w:lang w:val="de-DE"/>
        </w:rPr>
        <w:t xml:space="preserve"> landen, wurde die Studie in </w:t>
      </w:r>
      <w:r w:rsidR="00531027">
        <w:rPr>
          <w:b/>
          <w:lang w:val="de-DE"/>
        </w:rPr>
        <w:t>4</w:t>
      </w:r>
      <w:r w:rsidR="008C0B12" w:rsidRPr="00640AFA">
        <w:rPr>
          <w:b/>
          <w:lang w:val="de-DE"/>
        </w:rPr>
        <w:t xml:space="preserve"> Herkunftsbereiche aufgeteilt: Privathaushalte – Handel – Großküchen – Gastronomie</w:t>
      </w:r>
      <w:r w:rsidR="008C0B12">
        <w:rPr>
          <w:lang w:val="de-DE"/>
        </w:rPr>
        <w:t>.</w:t>
      </w:r>
      <w:r w:rsidR="00640AFA">
        <w:rPr>
          <w:lang w:val="de-DE"/>
        </w:rPr>
        <w:t xml:space="preserve"> </w:t>
      </w:r>
      <w:r w:rsidR="00DF0982">
        <w:rPr>
          <w:lang w:val="de-DE"/>
        </w:rPr>
        <w:t xml:space="preserve">Die Ergebnisse liefern </w:t>
      </w:r>
      <w:r w:rsidR="00A73098">
        <w:rPr>
          <w:lang w:val="de-DE"/>
        </w:rPr>
        <w:t xml:space="preserve">Ansatzpunkte um der Lebensmittelverschwendung </w:t>
      </w:r>
      <w:r w:rsidR="00DF0982">
        <w:rPr>
          <w:lang w:val="de-DE"/>
        </w:rPr>
        <w:t xml:space="preserve">in all diesen Bereichen </w:t>
      </w:r>
      <w:r w:rsidR="00A73098">
        <w:rPr>
          <w:lang w:val="de-DE"/>
        </w:rPr>
        <w:t>entgegenzuwirken.</w:t>
      </w:r>
      <w:r w:rsidR="00DF0982" w:rsidRPr="00DF0982">
        <w:rPr>
          <w:lang w:val="de-DE"/>
        </w:rPr>
        <w:t xml:space="preserve"> </w:t>
      </w:r>
    </w:p>
    <w:p w14:paraId="20F3B4C4" w14:textId="3D507052" w:rsidR="00531027" w:rsidRPr="00531027" w:rsidRDefault="008C0B12" w:rsidP="007457CD">
      <w:pPr>
        <w:rPr>
          <w:lang w:val="de-DE"/>
        </w:rPr>
      </w:pPr>
      <w:r>
        <w:rPr>
          <w:noProof/>
          <w:lang w:val="en-US"/>
        </w:rPr>
        <w:drawing>
          <wp:inline distT="0" distB="0" distL="0" distR="0" wp14:anchorId="768EADE0" wp14:editId="74B3AA9F">
            <wp:extent cx="5943600" cy="2227902"/>
            <wp:effectExtent l="0" t="0" r="0" b="1270"/>
            <wp:docPr id="1" name="Picture 1" descr="C:\Users\UPO678\AppData\Local\Microsoft\Windows\INetCache\Content.Word\liewensme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678\AppData\Local\Microsoft\Windows\INetCache\Content.Word\liewensmett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1" b="28877"/>
                    <a:stretch/>
                  </pic:blipFill>
                  <pic:spPr bwMode="auto">
                    <a:xfrm>
                      <a:off x="0" y="0"/>
                      <a:ext cx="5943600" cy="222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68515" w14:textId="62D3C583" w:rsidR="00531027" w:rsidRPr="00531027" w:rsidRDefault="00531027" w:rsidP="00531027">
      <w:pPr>
        <w:spacing w:line="276" w:lineRule="auto"/>
        <w:jc w:val="both"/>
        <w:rPr>
          <w:rFonts w:cs="Arial"/>
          <w:szCs w:val="22"/>
          <w:lang w:val="de-DE"/>
        </w:rPr>
      </w:pPr>
      <w:r w:rsidRPr="00531027">
        <w:rPr>
          <w:rFonts w:cs="Arial"/>
          <w:szCs w:val="22"/>
          <w:lang w:val="de-DE"/>
        </w:rPr>
        <w:t>Bei Lebensmittelabfällen ist generell zu unterscheiden zwischen:</w:t>
      </w:r>
    </w:p>
    <w:p w14:paraId="640C61B3" w14:textId="77777777" w:rsidR="00531027" w:rsidRPr="00531027" w:rsidRDefault="00531027" w:rsidP="00531027">
      <w:pPr>
        <w:spacing w:line="276" w:lineRule="auto"/>
        <w:jc w:val="both"/>
        <w:rPr>
          <w:rFonts w:cs="Arial"/>
          <w:szCs w:val="22"/>
          <w:lang w:val="de-DE"/>
        </w:rPr>
      </w:pPr>
      <w:r w:rsidRPr="00531027">
        <w:rPr>
          <w:rFonts w:cs="Arial"/>
          <w:szCs w:val="22"/>
          <w:lang w:val="de-DE"/>
        </w:rPr>
        <w:t xml:space="preserve">• </w:t>
      </w:r>
      <w:r w:rsidRPr="00531027">
        <w:rPr>
          <w:rFonts w:cs="Arial"/>
          <w:b/>
          <w:szCs w:val="22"/>
          <w:lang w:val="de-DE"/>
        </w:rPr>
        <w:t>vermeidbaren Abfällen</w:t>
      </w:r>
      <w:r w:rsidRPr="00531027">
        <w:rPr>
          <w:rFonts w:cs="Arial"/>
          <w:szCs w:val="22"/>
          <w:lang w:val="de-DE"/>
        </w:rPr>
        <w:t xml:space="preserve"> bestehend aus Essensresten, losen Lebensmittel wie Brot, Teigwaren, Gemüse, Obst, Wurst- und Fleischwaren und verpackten Lebensmittel;</w:t>
      </w:r>
    </w:p>
    <w:p w14:paraId="5005A152" w14:textId="730967DB" w:rsidR="00531027" w:rsidRPr="00531027" w:rsidRDefault="00531027" w:rsidP="00531027">
      <w:pPr>
        <w:spacing w:line="276" w:lineRule="auto"/>
        <w:jc w:val="both"/>
        <w:rPr>
          <w:rFonts w:cs="Arial"/>
          <w:szCs w:val="22"/>
          <w:lang w:val="de-DE"/>
        </w:rPr>
      </w:pPr>
      <w:r w:rsidRPr="00531027">
        <w:rPr>
          <w:rFonts w:cs="Arial"/>
          <w:szCs w:val="22"/>
          <w:lang w:val="de-DE"/>
        </w:rPr>
        <w:t xml:space="preserve">• </w:t>
      </w:r>
      <w:r w:rsidRPr="00531027">
        <w:rPr>
          <w:rFonts w:cs="Arial"/>
          <w:b/>
          <w:szCs w:val="22"/>
          <w:lang w:val="de-DE"/>
        </w:rPr>
        <w:t>nicht vermeidbaren Lebensmittelabfällen</w:t>
      </w:r>
      <w:r w:rsidRPr="00531027">
        <w:rPr>
          <w:rFonts w:cs="Arial"/>
          <w:szCs w:val="22"/>
          <w:lang w:val="de-DE"/>
        </w:rPr>
        <w:t>, die größtenteils aus Zubereitungsresten wie Schalen und Knochen bestehen, also nicht essbare Bestandteile enthalten.</w:t>
      </w:r>
    </w:p>
    <w:p w14:paraId="61DD9235" w14:textId="77777777" w:rsidR="00531027" w:rsidRDefault="00531027" w:rsidP="007457CD">
      <w:pPr>
        <w:rPr>
          <w:lang w:val="de-DE"/>
        </w:rPr>
      </w:pPr>
      <w:r w:rsidRPr="00531027">
        <w:rPr>
          <w:lang w:val="de-DE"/>
        </w:rPr>
        <w:t xml:space="preserve">Das Aufkommen und die Zusammensetzung an Lebensmittelabfall in Luxemburg wurde </w:t>
      </w:r>
      <w:r>
        <w:rPr>
          <w:lang w:val="de-DE"/>
        </w:rPr>
        <w:t>mit</w:t>
      </w:r>
      <w:r w:rsidRPr="00531027">
        <w:rPr>
          <w:lang w:val="de-DE"/>
        </w:rPr>
        <w:t xml:space="preserve"> Daten aus verschiedenen Abfallstatistiken, den Ergebnissen einer Befragung ausgewählter Unternehmen der Distributions- und Verarbeitungskette von Lebensmitteln, den Resultaten der landesweiten Restabfallanalyse 2018/2019 sowie einer Reihe von Sekundär- und Tertiärdaten abgeschätzt.</w:t>
      </w:r>
      <w:r>
        <w:rPr>
          <w:lang w:val="de-DE"/>
        </w:rPr>
        <w:t xml:space="preserve"> </w:t>
      </w:r>
    </w:p>
    <w:p w14:paraId="3DB8CF32" w14:textId="4AE22CCD" w:rsidR="00640AFA" w:rsidRDefault="00640AFA" w:rsidP="007457CD">
      <w:pPr>
        <w:rPr>
          <w:lang w:val="de-DE"/>
        </w:rPr>
      </w:pPr>
      <w:r>
        <w:rPr>
          <w:lang w:val="de-DE"/>
        </w:rPr>
        <w:lastRenderedPageBreak/>
        <w:t xml:space="preserve">Dabei wurde eine </w:t>
      </w:r>
      <w:r w:rsidRPr="00640AFA">
        <w:rPr>
          <w:b/>
          <w:lang w:val="de-DE"/>
        </w:rPr>
        <w:t>Gesamtmenge von 70.800 Tonnen</w:t>
      </w:r>
      <w:r w:rsidRPr="00640AFA">
        <w:rPr>
          <w:lang w:val="de-DE"/>
        </w:rPr>
        <w:t xml:space="preserve"> Lebensmitteln</w:t>
      </w:r>
      <w:r>
        <w:rPr>
          <w:lang w:val="de-DE"/>
        </w:rPr>
        <w:t xml:space="preserve"> errechnet</w:t>
      </w:r>
      <w:r w:rsidRPr="00640AFA">
        <w:rPr>
          <w:lang w:val="de-DE"/>
        </w:rPr>
        <w:t xml:space="preserve">, die jedes Jahr von Gastronomie, Handel, Großküchen und Privathaushalten entsorgt werden, das sind </w:t>
      </w:r>
      <w:r w:rsidRPr="00640AFA">
        <w:rPr>
          <w:b/>
          <w:lang w:val="de-DE"/>
        </w:rPr>
        <w:t>rund 118 kg pro Einwohner und Jahr.</w:t>
      </w:r>
    </w:p>
    <w:p w14:paraId="2EF4C299" w14:textId="218BF064" w:rsidR="00B0720A" w:rsidRPr="005F558B" w:rsidRDefault="00A73098" w:rsidP="005F558B">
      <w:pPr>
        <w:rPr>
          <w:lang w:val="de-DE"/>
        </w:rPr>
      </w:pPr>
      <w:r>
        <w:rPr>
          <w:lang w:val="de-DE"/>
        </w:rPr>
        <w:t>Das Ergebnis zeigt, dass das Gesamtvolumen an Lebensmitteln im Restmüll</w:t>
      </w:r>
      <w:r w:rsidR="00DF0982">
        <w:rPr>
          <w:lang w:val="de-DE"/>
        </w:rPr>
        <w:t xml:space="preserve"> </w:t>
      </w:r>
      <w:r w:rsidR="007E01AC">
        <w:rPr>
          <w:lang w:val="de-DE"/>
        </w:rPr>
        <w:t>seit 201</w:t>
      </w:r>
      <w:r w:rsidR="00640AFA">
        <w:rPr>
          <w:lang w:val="de-DE"/>
        </w:rPr>
        <w:t>6</w:t>
      </w:r>
      <w:r w:rsidR="007E01AC">
        <w:rPr>
          <w:lang w:val="de-DE"/>
        </w:rPr>
        <w:t xml:space="preserve"> durch die steigende Bevölkerungszahl </w:t>
      </w:r>
      <w:r>
        <w:rPr>
          <w:lang w:val="de-DE"/>
        </w:rPr>
        <w:t xml:space="preserve">leicht angestiegen ist (+4,8%), das Pro-Kopf-Aufkommen jedoch gesunken ist (-3,8%). </w:t>
      </w:r>
    </w:p>
    <w:p w14:paraId="39A7F0BD" w14:textId="2350035A" w:rsidR="0016722D" w:rsidRPr="007F0993" w:rsidRDefault="0016722D" w:rsidP="0016722D">
      <w:pPr>
        <w:pStyle w:val="Heading2"/>
        <w:rPr>
          <w:lang w:val="de-DE"/>
        </w:rPr>
      </w:pPr>
      <w:r w:rsidRPr="007F0993">
        <w:rPr>
          <w:lang w:val="de-DE"/>
        </w:rPr>
        <w:t>Privathaushalte</w:t>
      </w:r>
    </w:p>
    <w:p w14:paraId="469E1D2B" w14:textId="70254661" w:rsidR="00D435E9" w:rsidRPr="0041138F" w:rsidRDefault="0041138F" w:rsidP="0041138F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  <w:lang w:val="de-DE"/>
        </w:rPr>
      </w:pPr>
      <w:r w:rsidRPr="0041138F">
        <w:rPr>
          <w:rFonts w:cs="Arial"/>
          <w:szCs w:val="24"/>
          <w:lang w:val="de-DE"/>
        </w:rPr>
        <w:t xml:space="preserve">Der Großteil der Lebensmittelabfälle entsteht in </w:t>
      </w:r>
      <w:r w:rsidRPr="0041138F">
        <w:rPr>
          <w:rFonts w:cs="Arial"/>
          <w:b/>
          <w:szCs w:val="24"/>
          <w:lang w:val="de-DE"/>
        </w:rPr>
        <w:t>Privathaushalten</w:t>
      </w:r>
      <w:r w:rsidRPr="0041138F">
        <w:rPr>
          <w:rFonts w:cs="Arial"/>
          <w:szCs w:val="24"/>
          <w:lang w:val="de-DE"/>
        </w:rPr>
        <w:t xml:space="preserve">: In Luxemburg werden </w:t>
      </w:r>
      <w:r w:rsidRPr="0041138F">
        <w:rPr>
          <w:rFonts w:cs="Arial"/>
          <w:b/>
          <w:szCs w:val="24"/>
          <w:lang w:val="de-DE"/>
        </w:rPr>
        <w:t>pro Jahr 53.270 Tonnen Lebensmittel</w:t>
      </w:r>
      <w:r w:rsidRPr="0041138F">
        <w:rPr>
          <w:rFonts w:cs="Arial"/>
          <w:szCs w:val="24"/>
          <w:lang w:val="de-DE"/>
        </w:rPr>
        <w:t xml:space="preserve"> über Restmüll, Biotonne und Kompost entsorgt</w:t>
      </w:r>
      <w:r>
        <w:rPr>
          <w:rFonts w:cs="Arial"/>
          <w:szCs w:val="24"/>
          <w:lang w:val="de-DE"/>
        </w:rPr>
        <w:t xml:space="preserve">. Das sind etwa 75% der gesamten Lebensmittelabfälle. </w:t>
      </w:r>
      <w:r>
        <w:rPr>
          <w:rFonts w:cs="Arial"/>
          <w:szCs w:val="24"/>
          <w:lang w:val="de-DE"/>
        </w:rPr>
        <w:br/>
      </w:r>
      <w:r>
        <w:rPr>
          <w:lang w:val="de-DE"/>
        </w:rPr>
        <w:t>Jeder der 602.000 Einwohner produziert somit im Schnitt 88,5 kg Lebensmittelabfälle im Jahr (Stand: 2018)</w:t>
      </w:r>
      <w:r w:rsidR="00D435E9">
        <w:rPr>
          <w:lang w:val="de-DE"/>
        </w:rPr>
        <w:t>, wovon etwa 23</w:t>
      </w:r>
      <w:r w:rsidR="00531027">
        <w:rPr>
          <w:lang w:val="de-DE"/>
        </w:rPr>
        <w:t>,</w:t>
      </w:r>
      <w:r w:rsidR="00D435E9">
        <w:rPr>
          <w:lang w:val="de-DE"/>
        </w:rPr>
        <w:t xml:space="preserve">5 kg </w:t>
      </w:r>
      <w:r>
        <w:rPr>
          <w:lang w:val="de-DE"/>
        </w:rPr>
        <w:t xml:space="preserve">pro Kopf </w:t>
      </w:r>
      <w:r w:rsidR="00D435E9">
        <w:rPr>
          <w:lang w:val="de-DE"/>
        </w:rPr>
        <w:t>(</w:t>
      </w:r>
      <w:r w:rsidR="008C518B">
        <w:rPr>
          <w:lang w:val="de-DE"/>
        </w:rPr>
        <w:t xml:space="preserve">14.200 Tonnen) vermeidbar gewesen wären. </w:t>
      </w:r>
    </w:p>
    <w:p w14:paraId="7A92AD71" w14:textId="13EBBF94" w:rsidR="00817B14" w:rsidRDefault="00817B14" w:rsidP="00B56F85">
      <w:pPr>
        <w:rPr>
          <w:lang w:val="de-DE"/>
        </w:rPr>
      </w:pPr>
      <w:r>
        <w:rPr>
          <w:lang w:val="de-DE"/>
        </w:rPr>
        <w:t xml:space="preserve">Außerdem ist </w:t>
      </w:r>
      <w:r w:rsidRPr="00D946F9">
        <w:rPr>
          <w:b/>
          <w:lang w:val="de-DE"/>
        </w:rPr>
        <w:t>d</w:t>
      </w:r>
      <w:r w:rsidR="00B56F85" w:rsidRPr="009406C1">
        <w:rPr>
          <w:b/>
          <w:lang w:val="de-DE"/>
        </w:rPr>
        <w:t xml:space="preserve">er vermeidbare Anteil der </w:t>
      </w:r>
      <w:r w:rsidR="00B56F85" w:rsidRPr="008C518B">
        <w:rPr>
          <w:b/>
          <w:color w:val="auto"/>
          <w:lang w:val="de-DE"/>
        </w:rPr>
        <w:t xml:space="preserve">Lebensmittelabfälle im Restmüll um rund 37% </w:t>
      </w:r>
      <w:r w:rsidRPr="008C518B">
        <w:rPr>
          <w:b/>
          <w:color w:val="auto"/>
          <w:lang w:val="de-DE"/>
        </w:rPr>
        <w:t>zurückgegangen</w:t>
      </w:r>
      <w:r w:rsidR="00B56F85">
        <w:rPr>
          <w:lang w:val="de-DE"/>
        </w:rPr>
        <w:t>. Gründe hierfür sind vermutlich die gesteigerte Sensibilität</w:t>
      </w:r>
      <w:r w:rsidR="009527EE">
        <w:rPr>
          <w:lang w:val="de-DE"/>
        </w:rPr>
        <w:t xml:space="preserve"> und veränderte Gewohnheiten, wie zum Beispiel das Kompostieren oder Trennen von Biomüll.</w:t>
      </w:r>
    </w:p>
    <w:p w14:paraId="60BB00F2" w14:textId="0B30FD70" w:rsidR="00B56F85" w:rsidRDefault="008C518B" w:rsidP="00B56F85">
      <w:pPr>
        <w:rPr>
          <w:lang w:val="de-DE"/>
        </w:rPr>
      </w:pPr>
      <w:r>
        <w:rPr>
          <w:lang w:val="de-DE"/>
        </w:rPr>
        <w:t>Die 2019 durchgeführte Restabfallstudie</w:t>
      </w:r>
      <w:r>
        <w:rPr>
          <w:rStyle w:val="FootnoteReference"/>
          <w:lang w:val="de-DE"/>
        </w:rPr>
        <w:footnoteReference w:id="1"/>
      </w:r>
      <w:r>
        <w:rPr>
          <w:lang w:val="de-DE"/>
        </w:rPr>
        <w:t xml:space="preserve"> hat gezeigt, dass sich ein hoher Anteil an Lebensmitteln (bis zu 30%) im Restmüll befinden. </w:t>
      </w:r>
      <w:r w:rsidR="00B56F85" w:rsidRPr="00586588">
        <w:rPr>
          <w:lang w:val="de-DE"/>
        </w:rPr>
        <w:t xml:space="preserve">Die vermeidbaren Lebensmittelabfälle </w:t>
      </w:r>
      <w:r w:rsidR="00B56F85">
        <w:rPr>
          <w:lang w:val="de-DE"/>
        </w:rPr>
        <w:t xml:space="preserve">basierend </w:t>
      </w:r>
      <w:r>
        <w:rPr>
          <w:lang w:val="de-DE"/>
        </w:rPr>
        <w:t>dieser</w:t>
      </w:r>
      <w:r w:rsidR="00B56F85">
        <w:rPr>
          <w:lang w:val="de-DE"/>
        </w:rPr>
        <w:t xml:space="preserve"> Restabfallstudie </w:t>
      </w:r>
      <w:r w:rsidR="00B56F85" w:rsidRPr="00586588">
        <w:rPr>
          <w:lang w:val="de-DE"/>
        </w:rPr>
        <w:t>setzen</w:t>
      </w:r>
      <w:r w:rsidR="00B56F85" w:rsidRPr="00AE771F">
        <w:rPr>
          <w:lang w:val="de-DE"/>
        </w:rPr>
        <w:t xml:space="preserve"> sich</w:t>
      </w:r>
      <w:r w:rsidR="00B56F85" w:rsidRPr="00586588">
        <w:rPr>
          <w:lang w:val="de-DE"/>
        </w:rPr>
        <w:t xml:space="preserve"> </w:t>
      </w:r>
      <w:r w:rsidR="00B56F85" w:rsidRPr="00AE771F">
        <w:rPr>
          <w:lang w:val="de-DE"/>
        </w:rPr>
        <w:t>folgendermaßen zusammen:</w:t>
      </w:r>
    </w:p>
    <w:p w14:paraId="6B3E63B0" w14:textId="22A58456" w:rsidR="00EE0DDB" w:rsidRDefault="00EE0DDB" w:rsidP="00B56F85">
      <w:pPr>
        <w:rPr>
          <w:lang w:val="de-DE"/>
        </w:rPr>
      </w:pPr>
      <w:r>
        <w:rPr>
          <w:noProof/>
          <w:lang w:val="en-US"/>
        </w:rPr>
        <w:lastRenderedPageBreak/>
        <w:drawing>
          <wp:inline distT="0" distB="0" distL="0" distR="0" wp14:anchorId="42D29DFA" wp14:editId="2AD2E57C">
            <wp:extent cx="5287878" cy="3295650"/>
            <wp:effectExtent l="0" t="0" r="825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7A3004" w14:textId="401CB5D4" w:rsidR="00B0720A" w:rsidRPr="00531027" w:rsidRDefault="00B0720A" w:rsidP="00531027">
      <w:pPr>
        <w:autoSpaceDE w:val="0"/>
        <w:autoSpaceDN w:val="0"/>
        <w:adjustRightInd w:val="0"/>
        <w:jc w:val="both"/>
        <w:rPr>
          <w:rFonts w:cs="Arial"/>
          <w:szCs w:val="22"/>
          <w:lang w:val="de-DE"/>
        </w:rPr>
      </w:pPr>
      <w:r w:rsidRPr="00B0720A">
        <w:rPr>
          <w:rFonts w:cs="Arial"/>
          <w:szCs w:val="22"/>
          <w:lang w:val="de-DE"/>
        </w:rPr>
        <w:t xml:space="preserve">Monetär werden die über den Restmüll entsorgten vermeidbaren Lebensmittelabfälle auf </w:t>
      </w:r>
      <w:r w:rsidRPr="00B0720A">
        <w:rPr>
          <w:rFonts w:cs="Arial"/>
          <w:b/>
          <w:szCs w:val="22"/>
          <w:lang w:val="de-DE"/>
        </w:rPr>
        <w:t>75,5 EUR pro Einwohner und Jahr</w:t>
      </w:r>
      <w:r w:rsidRPr="00B0720A">
        <w:rPr>
          <w:rFonts w:cs="Arial"/>
          <w:szCs w:val="22"/>
          <w:lang w:val="de-DE"/>
        </w:rPr>
        <w:t xml:space="preserve"> geschätzt, respektive </w:t>
      </w:r>
      <w:r w:rsidRPr="00B0720A">
        <w:rPr>
          <w:rFonts w:cs="Arial"/>
          <w:b/>
          <w:szCs w:val="22"/>
          <w:lang w:val="de-DE"/>
        </w:rPr>
        <w:t>46,5 Millionen Euro pro Jahr für ganz Luxemburg</w:t>
      </w:r>
      <w:r w:rsidRPr="00B0720A">
        <w:rPr>
          <w:rFonts w:cs="Arial"/>
          <w:szCs w:val="22"/>
          <w:lang w:val="de-DE"/>
        </w:rPr>
        <w:t xml:space="preserve">.  </w:t>
      </w:r>
    </w:p>
    <w:p w14:paraId="4AD73756" w14:textId="4D22D1F9" w:rsidR="00B56F85" w:rsidRPr="007F0993" w:rsidRDefault="00B56F85" w:rsidP="00B56F85">
      <w:pPr>
        <w:pStyle w:val="Heading2"/>
        <w:rPr>
          <w:lang w:val="de-DE"/>
        </w:rPr>
      </w:pPr>
      <w:r>
        <w:rPr>
          <w:lang w:val="de-DE"/>
        </w:rPr>
        <w:t>Gastronomie</w:t>
      </w:r>
    </w:p>
    <w:p w14:paraId="3D72BC34" w14:textId="2A528BD0" w:rsidR="00B56F85" w:rsidRDefault="00B56F85" w:rsidP="00B56F85">
      <w:pPr>
        <w:rPr>
          <w:lang w:val="de-DE"/>
        </w:rPr>
      </w:pPr>
      <w:r>
        <w:rPr>
          <w:lang w:val="de-DE"/>
        </w:rPr>
        <w:t>Lebensmittelabfälle in der Gastronomie bestehen hauptsächlich aus größtenteils nicht vermeidbaren Zubereitungsresten (</w:t>
      </w:r>
      <w:r w:rsidRPr="00EB01FD">
        <w:rPr>
          <w:lang w:val="de-DE"/>
        </w:rPr>
        <w:t>Eierschalen, Fett, Knoche</w:t>
      </w:r>
      <w:r w:rsidR="00B46D54">
        <w:rPr>
          <w:lang w:val="de-DE"/>
        </w:rPr>
        <w:t>n</w:t>
      </w:r>
      <w:r>
        <w:rPr>
          <w:lang w:val="de-DE"/>
        </w:rPr>
        <w:t xml:space="preserve">, …), aber auch vermeidbaren Tischresten, überschüssigen Mahlzeiten oder Lagerverlusten. </w:t>
      </w:r>
    </w:p>
    <w:p w14:paraId="389A5659" w14:textId="2A61847F" w:rsidR="00B56F85" w:rsidRPr="001A1C57" w:rsidRDefault="00B56F85" w:rsidP="00B56F85">
      <w:pPr>
        <w:rPr>
          <w:lang w:val="de-DE"/>
        </w:rPr>
      </w:pPr>
      <w:r>
        <w:rPr>
          <w:lang w:val="de-DE"/>
        </w:rPr>
        <w:t xml:space="preserve">Die Gesamtmenge der Lebensmittelabfälle in der Gastronomie wurde im Durchschnitt auf 5.250 Tonnen im Jahr berechnet. Pro Einwohner ergibt sich daraus </w:t>
      </w:r>
      <w:r w:rsidRPr="001A1C57">
        <w:rPr>
          <w:lang w:val="de-DE"/>
        </w:rPr>
        <w:t>ein Aufkommen von 8,9 kg im Jahr. Vermeidbar wären hiervon etwa 7,1 kg im Jahr pro Einwohner.</w:t>
      </w:r>
    </w:p>
    <w:p w14:paraId="13EF772A" w14:textId="199E82AB" w:rsidR="00B56F85" w:rsidRPr="001A1C57" w:rsidRDefault="00B56F85" w:rsidP="00B56F85">
      <w:pPr>
        <w:pStyle w:val="Heading2"/>
        <w:rPr>
          <w:lang w:val="de-DE"/>
        </w:rPr>
      </w:pPr>
      <w:r w:rsidRPr="001A1C57">
        <w:rPr>
          <w:lang w:val="de-DE"/>
        </w:rPr>
        <w:t>Großküchen</w:t>
      </w:r>
    </w:p>
    <w:p w14:paraId="64BB5023" w14:textId="77777777" w:rsidR="00B56F85" w:rsidRPr="001A1C57" w:rsidRDefault="00B56F85" w:rsidP="00B56F85">
      <w:pPr>
        <w:rPr>
          <w:lang w:val="de-DE"/>
        </w:rPr>
      </w:pPr>
      <w:r w:rsidRPr="001A1C57">
        <w:rPr>
          <w:lang w:val="de-DE"/>
        </w:rPr>
        <w:t xml:space="preserve">Die Gesamtmenge der Lebensmittelabfälle in Großküchen (Kantinen, Krankenhäuser, Schulen, Altenheime, …) wurde im Durchschnitt auf 7.100 Tonnen im Jahr berechnet. Pro Einwohner ergibt sich daraus ein Aufkommen von </w:t>
      </w:r>
      <w:r w:rsidRPr="00D946F9">
        <w:rPr>
          <w:iCs/>
          <w:lang w:val="de-DE"/>
        </w:rPr>
        <w:t>12 kg im</w:t>
      </w:r>
      <w:r w:rsidRPr="001A1C57">
        <w:rPr>
          <w:lang w:val="de-DE"/>
        </w:rPr>
        <w:t xml:space="preserve"> Jahr. Vermeidbar wären davon rund 9,6 kg pro Einwohner im Jahr.</w:t>
      </w:r>
    </w:p>
    <w:p w14:paraId="31F65ACB" w14:textId="0F3DC8C4" w:rsidR="00B56F85" w:rsidRPr="001A1C57" w:rsidRDefault="00B56F85" w:rsidP="00B56F85">
      <w:pPr>
        <w:rPr>
          <w:lang w:val="de-DE"/>
        </w:rPr>
      </w:pPr>
      <w:r w:rsidRPr="001A1C57">
        <w:rPr>
          <w:lang w:val="de-DE"/>
        </w:rPr>
        <w:t xml:space="preserve">Diese neuen Zahlen entsprechen einem Rückgang der Lebensmittelbabfälle in diesem Herkunftsbereich von etwa 8%. </w:t>
      </w:r>
      <w:r w:rsidR="00D946F9">
        <w:rPr>
          <w:lang w:val="de-DE"/>
        </w:rPr>
        <w:t>Dieser Rückgang ist</w:t>
      </w:r>
      <w:r w:rsidRPr="001A1C57">
        <w:rPr>
          <w:lang w:val="de-DE"/>
        </w:rPr>
        <w:t xml:space="preserve"> </w:t>
      </w:r>
      <w:r w:rsidR="00D946F9">
        <w:rPr>
          <w:lang w:val="de-DE"/>
        </w:rPr>
        <w:t>laut Aussagen der Befragten auf ein</w:t>
      </w:r>
      <w:r w:rsidRPr="001A1C57">
        <w:rPr>
          <w:lang w:val="de-DE"/>
        </w:rPr>
        <w:t xml:space="preserve"> erhöhte</w:t>
      </w:r>
      <w:r w:rsidR="00D946F9">
        <w:rPr>
          <w:lang w:val="de-DE"/>
        </w:rPr>
        <w:t>s</w:t>
      </w:r>
      <w:r w:rsidRPr="001A1C57">
        <w:rPr>
          <w:lang w:val="de-DE"/>
        </w:rPr>
        <w:t xml:space="preserve"> </w:t>
      </w:r>
      <w:r w:rsidR="00D946F9">
        <w:rPr>
          <w:lang w:val="de-DE"/>
        </w:rPr>
        <w:t>Bewusstsein zu</w:t>
      </w:r>
      <w:r w:rsidRPr="001A1C57">
        <w:rPr>
          <w:lang w:val="de-DE"/>
        </w:rPr>
        <w:t>m Thema Lebensmittelverschwendung, sowie vermehrten Initiativen in diesem Bereich z</w:t>
      </w:r>
      <w:r w:rsidR="00D946F9">
        <w:rPr>
          <w:lang w:val="de-DE"/>
        </w:rPr>
        <w:t>urückzufuhren.</w:t>
      </w:r>
    </w:p>
    <w:p w14:paraId="5305E8E6" w14:textId="7107A3C6" w:rsidR="00B56F85" w:rsidRPr="001A1C57" w:rsidRDefault="00B56F85" w:rsidP="00B56F85">
      <w:pPr>
        <w:pStyle w:val="Heading2"/>
        <w:rPr>
          <w:lang w:val="de-DE"/>
        </w:rPr>
      </w:pPr>
      <w:r w:rsidRPr="001A1C57">
        <w:rPr>
          <w:lang w:val="de-DE"/>
        </w:rPr>
        <w:lastRenderedPageBreak/>
        <w:t>Handel</w:t>
      </w:r>
    </w:p>
    <w:p w14:paraId="24C4AC04" w14:textId="77777777" w:rsidR="00B56F85" w:rsidRPr="001A1C57" w:rsidRDefault="00B56F85" w:rsidP="00B56F8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val="de-DE"/>
        </w:rPr>
      </w:pPr>
      <w:r w:rsidRPr="001A1C57">
        <w:rPr>
          <w:rFonts w:asciiTheme="majorHAnsi" w:hAnsiTheme="majorHAnsi" w:cs="Calibri"/>
          <w:lang w:val="de-DE"/>
        </w:rPr>
        <w:t xml:space="preserve">Lebensmittelabfälle fallen im Einzel- und Großhandel in erster Linie in Form von Produkten an, die als nicht mehr verkäuflich eingestuft werden (verdorbene Lebensmittel, Verzehrdatum ist abgelaufen, …). </w:t>
      </w:r>
    </w:p>
    <w:p w14:paraId="5023E812" w14:textId="7DF4A385" w:rsidR="00B56F85" w:rsidRPr="00531027" w:rsidRDefault="00B56F85" w:rsidP="00B56F85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lang w:val="de-DE"/>
        </w:rPr>
      </w:pPr>
      <w:r w:rsidRPr="001A1C57">
        <w:rPr>
          <w:rFonts w:asciiTheme="majorHAnsi" w:hAnsiTheme="majorHAnsi"/>
          <w:lang w:val="de-DE"/>
        </w:rPr>
        <w:t xml:space="preserve">Die Gesamtmenge der Lebensmittelabfälle im Handel wurde im Durchschnitt </w:t>
      </w:r>
      <w:r w:rsidRPr="008C518B">
        <w:rPr>
          <w:rFonts w:asciiTheme="majorHAnsi" w:hAnsiTheme="majorHAnsi"/>
          <w:b/>
          <w:lang w:val="de-DE"/>
        </w:rPr>
        <w:t>auf 5.150 Tonnen im Jahr berechnet</w:t>
      </w:r>
      <w:r w:rsidRPr="001A1C57">
        <w:rPr>
          <w:rFonts w:asciiTheme="majorHAnsi" w:hAnsiTheme="majorHAnsi"/>
          <w:lang w:val="de-DE"/>
        </w:rPr>
        <w:t xml:space="preserve"> – ohne Lebensmittelspenden.</w:t>
      </w:r>
      <w:r w:rsidRPr="001A1C57">
        <w:rPr>
          <w:rFonts w:asciiTheme="majorHAnsi" w:hAnsiTheme="majorHAnsi" w:cs="Calibri"/>
          <w:iCs/>
          <w:color w:val="000000"/>
          <w:lang w:val="de-DE"/>
        </w:rPr>
        <w:t xml:space="preserve"> Die geschätzten Mengen beinhalten also ausschließlich nicht verkaufte Lebensmittel. </w:t>
      </w:r>
      <w:r w:rsidRPr="001A1C57">
        <w:rPr>
          <w:rFonts w:asciiTheme="majorHAnsi" w:hAnsiTheme="majorHAnsi"/>
          <w:lang w:val="de-DE"/>
        </w:rPr>
        <w:t>Pro Einwohner ergibt sich daraus ein Aufkommen von 8</w:t>
      </w:r>
      <w:r w:rsidR="008C518B">
        <w:rPr>
          <w:rFonts w:asciiTheme="majorHAnsi" w:hAnsiTheme="majorHAnsi"/>
          <w:lang w:val="de-DE"/>
        </w:rPr>
        <w:t>,</w:t>
      </w:r>
      <w:r w:rsidRPr="001A1C57">
        <w:rPr>
          <w:rFonts w:asciiTheme="majorHAnsi" w:hAnsiTheme="majorHAnsi"/>
          <w:lang w:val="de-DE"/>
        </w:rPr>
        <w:t>7 kg im Jahr. Vermeidbar wären davon rund 7,85 kg pro Einwohner im</w:t>
      </w:r>
      <w:r>
        <w:rPr>
          <w:rFonts w:asciiTheme="majorHAnsi" w:hAnsiTheme="majorHAnsi"/>
          <w:lang w:val="de-DE"/>
        </w:rPr>
        <w:t xml:space="preserve"> Jahr</w:t>
      </w:r>
      <w:r w:rsidRPr="00300D13">
        <w:rPr>
          <w:rFonts w:asciiTheme="majorHAnsi" w:hAnsiTheme="majorHAnsi"/>
          <w:lang w:val="de-DE"/>
        </w:rPr>
        <w:t>.</w:t>
      </w:r>
    </w:p>
    <w:p w14:paraId="739DAA12" w14:textId="60C427D2" w:rsidR="00B56F85" w:rsidRPr="000570EF" w:rsidRDefault="00B56F85" w:rsidP="000570EF">
      <w:pPr>
        <w:pStyle w:val="Heading2"/>
        <w:rPr>
          <w:lang w:val="de-DE"/>
        </w:rPr>
      </w:pPr>
      <w:r>
        <w:rPr>
          <w:lang w:val="de-DE"/>
        </w:rPr>
        <w:t>Vergleich der Studienergebnisse 2016 und 2019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835"/>
      </w:tblGrid>
      <w:tr w:rsidR="00B56F85" w:rsidRPr="000570EF" w14:paraId="3EE18F1E" w14:textId="77777777" w:rsidTr="00047732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6384729" w14:textId="480EC2D7" w:rsidR="00D77678" w:rsidRDefault="00D77678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</w:p>
          <w:p w14:paraId="0292780B" w14:textId="7BA07869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  <w:t>Erzeuger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13E914" w14:textId="6ABF2C7E" w:rsidR="00B56F85" w:rsidRPr="00722055" w:rsidRDefault="00B56F85" w:rsidP="00D776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  <w:t>Geschätztes jährliches Aufkommen</w:t>
            </w:r>
            <w:r w:rsidR="00D77678"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  <w:t xml:space="preserve"> (in Tonnen)</w:t>
            </w:r>
          </w:p>
        </w:tc>
      </w:tr>
      <w:tr w:rsidR="00B56F85" w:rsidRPr="00722055" w14:paraId="45E493DE" w14:textId="77777777" w:rsidTr="00D77678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1E98BEF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AA386E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4376F4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3741D0" w14:textId="249AB81A" w:rsidR="00B56F85" w:rsidRPr="00722055" w:rsidRDefault="00D77678" w:rsidP="0004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  <w:t>Veränderung</w:t>
            </w:r>
            <w:r w:rsidRPr="00722055"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  <w:t>[%]</w:t>
            </w:r>
          </w:p>
        </w:tc>
      </w:tr>
      <w:tr w:rsidR="00B56F85" w:rsidRPr="00722055" w14:paraId="0CFB83FF" w14:textId="77777777" w:rsidTr="000477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13A868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  <w:t>Privathaushalte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201" w14:textId="77777777" w:rsidR="00B56F85" w:rsidRPr="00722055" w:rsidRDefault="00B56F85" w:rsidP="00047732">
            <w:pPr>
              <w:spacing w:after="0" w:line="240" w:lineRule="auto"/>
              <w:jc w:val="right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auto"/>
                <w:szCs w:val="22"/>
                <w:lang w:val="en-GB" w:eastAsia="de-DE"/>
              </w:rPr>
              <w:t>49.260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15A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53.270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699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color w:val="auto"/>
                <w:szCs w:val="22"/>
                <w:lang w:val="de-DE" w:eastAsia="de-DE"/>
              </w:rPr>
              <w:t>+</w:t>
            </w:r>
            <w:r w:rsidRPr="00722055">
              <w:rPr>
                <w:rFonts w:ascii="Calibri" w:hAnsi="Calibri" w:cs="Calibri"/>
                <w:color w:val="auto"/>
                <w:szCs w:val="22"/>
                <w:lang w:val="de-DE" w:eastAsia="de-DE"/>
              </w:rPr>
              <w:t>8,1</w:t>
            </w:r>
          </w:p>
        </w:tc>
      </w:tr>
      <w:tr w:rsidR="00B56F85" w:rsidRPr="00722055" w14:paraId="4597A330" w14:textId="77777777" w:rsidTr="000477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037D38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  <w:t>Restaurants, Hotels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8DEF" w14:textId="77777777" w:rsidR="00B56F85" w:rsidRPr="00722055" w:rsidRDefault="00B56F85" w:rsidP="00047732">
            <w:pPr>
              <w:spacing w:after="0" w:line="240" w:lineRule="auto"/>
              <w:jc w:val="right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auto"/>
                <w:szCs w:val="22"/>
                <w:lang w:val="en-GB" w:eastAsia="de-DE"/>
              </w:rPr>
              <w:t>6.150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D354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5.250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1E9F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auto"/>
                <w:szCs w:val="22"/>
                <w:lang w:val="de-DE" w:eastAsia="de-DE"/>
              </w:rPr>
              <w:t>-14,6</w:t>
            </w:r>
          </w:p>
        </w:tc>
      </w:tr>
      <w:tr w:rsidR="00B56F85" w:rsidRPr="00722055" w14:paraId="6177E67B" w14:textId="77777777" w:rsidTr="000477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5C31CA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  <w:t>Großküchen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0BEB" w14:textId="77777777" w:rsidR="00B56F85" w:rsidRPr="00722055" w:rsidRDefault="00B56F85" w:rsidP="00047732">
            <w:pPr>
              <w:spacing w:after="0" w:line="240" w:lineRule="auto"/>
              <w:jc w:val="right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auto"/>
                <w:szCs w:val="22"/>
                <w:lang w:val="en-GB" w:eastAsia="de-DE"/>
              </w:rPr>
              <w:t>7.650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1AD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7.092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262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auto"/>
                <w:szCs w:val="22"/>
                <w:lang w:val="de-DE" w:eastAsia="de-DE"/>
              </w:rPr>
              <w:t>-7,3</w:t>
            </w:r>
          </w:p>
        </w:tc>
      </w:tr>
      <w:tr w:rsidR="00B56F85" w:rsidRPr="00722055" w14:paraId="7FEE20C0" w14:textId="77777777" w:rsidTr="000477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D1F551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iCs/>
                <w:color w:val="000000"/>
                <w:szCs w:val="22"/>
                <w:lang w:val="de-DE"/>
              </w:rPr>
              <w:t>Handel</w:t>
            </w:r>
            <w:r w:rsidRPr="00722055">
              <w:rPr>
                <w:rFonts w:ascii="Calibri" w:eastAsia="Calibri" w:hAnsi="Calibri" w:cs="Calibri"/>
                <w:iCs/>
                <w:color w:val="000000"/>
                <w:szCs w:val="22"/>
                <w:vertAlign w:val="superscript"/>
                <w:lang w:val="de-DE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F33" w14:textId="77777777" w:rsidR="00B56F85" w:rsidRPr="00722055" w:rsidRDefault="00B56F85" w:rsidP="00047732">
            <w:pPr>
              <w:spacing w:after="0" w:line="240" w:lineRule="auto"/>
              <w:jc w:val="right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auto"/>
                <w:szCs w:val="22"/>
                <w:lang w:val="en-GB" w:eastAsia="de-DE"/>
              </w:rPr>
              <w:t>4.450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B26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color w:val="000000"/>
                <w:szCs w:val="22"/>
                <w:lang w:val="de-DE" w:eastAsia="de-DE"/>
              </w:rPr>
              <w:t>5.150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DF8E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color w:val="auto"/>
                <w:szCs w:val="22"/>
                <w:lang w:val="de-DE" w:eastAsia="de-DE"/>
              </w:rPr>
              <w:t>+</w:t>
            </w:r>
            <w:r w:rsidRPr="00722055">
              <w:rPr>
                <w:rFonts w:ascii="Calibri" w:hAnsi="Calibri" w:cs="Calibri"/>
                <w:color w:val="auto"/>
                <w:szCs w:val="22"/>
                <w:lang w:val="de-DE" w:eastAsia="de-DE"/>
              </w:rPr>
              <w:t>15,7</w:t>
            </w:r>
          </w:p>
        </w:tc>
      </w:tr>
      <w:tr w:rsidR="00B56F85" w:rsidRPr="00722055" w14:paraId="34A9A598" w14:textId="77777777" w:rsidTr="000477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6B619B" w14:textId="77777777" w:rsidR="00B56F85" w:rsidRPr="00722055" w:rsidRDefault="00B56F85" w:rsidP="0004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</w:pPr>
            <w:r w:rsidRPr="00722055">
              <w:rPr>
                <w:rFonts w:ascii="Calibri" w:eastAsia="Calibri" w:hAnsi="Calibri" w:cs="Calibri"/>
                <w:b/>
                <w:iCs/>
                <w:color w:val="000000"/>
                <w:szCs w:val="22"/>
                <w:lang w:val="de-DE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AE3" w14:textId="77777777" w:rsidR="00B56F85" w:rsidRPr="00722055" w:rsidRDefault="00B56F85" w:rsidP="0004773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b/>
                <w:bCs/>
                <w:color w:val="000000"/>
                <w:szCs w:val="22"/>
                <w:lang w:val="en-GB" w:eastAsia="de-DE"/>
              </w:rPr>
              <w:t>67.510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FBD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2"/>
                <w:lang w:val="de-DE" w:eastAsia="de-DE"/>
              </w:rPr>
            </w:pPr>
            <w:r w:rsidRPr="00722055">
              <w:rPr>
                <w:rFonts w:ascii="Calibri" w:hAnsi="Calibri" w:cs="Calibri"/>
                <w:b/>
                <w:bCs/>
                <w:color w:val="000000"/>
                <w:szCs w:val="22"/>
                <w:lang w:val="de-DE" w:eastAsia="de-DE"/>
              </w:rPr>
              <w:t>70.762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F75F" w14:textId="77777777" w:rsidR="00B56F85" w:rsidRPr="00722055" w:rsidRDefault="00B56F85" w:rsidP="000477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2"/>
                <w:lang w:val="de-DE" w:eastAsia="de-DE"/>
              </w:rPr>
              <w:t>+</w:t>
            </w:r>
            <w:r w:rsidRPr="00722055">
              <w:rPr>
                <w:rFonts w:ascii="Calibri" w:hAnsi="Calibri" w:cs="Calibri"/>
                <w:b/>
                <w:bCs/>
                <w:color w:val="auto"/>
                <w:szCs w:val="22"/>
                <w:lang w:val="de-DE" w:eastAsia="de-DE"/>
              </w:rPr>
              <w:t>4,8</w:t>
            </w:r>
          </w:p>
        </w:tc>
      </w:tr>
    </w:tbl>
    <w:p w14:paraId="3B72E860" w14:textId="28FB5A4A" w:rsidR="000570EF" w:rsidRPr="000570EF" w:rsidRDefault="00D946F9" w:rsidP="005D7450">
      <w:pPr>
        <w:rPr>
          <w:rStyle w:val="Hyperlink"/>
          <w:color w:val="262626"/>
          <w:u w:val="none"/>
          <w:lang w:val="de-DE"/>
        </w:rPr>
      </w:pPr>
      <w:r>
        <w:rPr>
          <w:lang w:val="de-DE"/>
        </w:rPr>
        <w:t xml:space="preserve"> </w:t>
      </w:r>
      <w:r w:rsidR="000570EF">
        <w:rPr>
          <w:lang w:val="fr-FR"/>
        </w:rPr>
        <w:t xml:space="preserve"> </w:t>
      </w:r>
    </w:p>
    <w:sectPr w:rsidR="000570EF" w:rsidRPr="000570EF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2161" w14:textId="77777777" w:rsidR="00BE0038" w:rsidRDefault="00BE0038" w:rsidP="00171849">
      <w:pPr>
        <w:spacing w:after="0" w:line="240" w:lineRule="auto"/>
      </w:pPr>
      <w:r>
        <w:separator/>
      </w:r>
    </w:p>
  </w:endnote>
  <w:endnote w:type="continuationSeparator" w:id="0">
    <w:p w14:paraId="702BE91B" w14:textId="77777777" w:rsidR="00BE0038" w:rsidRDefault="00BE0038" w:rsidP="0017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Sof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FA2E6" w14:textId="77777777" w:rsidR="00BE0038" w:rsidRDefault="00BE0038" w:rsidP="00171849">
      <w:pPr>
        <w:spacing w:after="0" w:line="240" w:lineRule="auto"/>
      </w:pPr>
      <w:r>
        <w:separator/>
      </w:r>
    </w:p>
  </w:footnote>
  <w:footnote w:type="continuationSeparator" w:id="0">
    <w:p w14:paraId="2772E56F" w14:textId="77777777" w:rsidR="00BE0038" w:rsidRDefault="00BE0038" w:rsidP="00171849">
      <w:pPr>
        <w:spacing w:after="0" w:line="240" w:lineRule="auto"/>
      </w:pPr>
      <w:r>
        <w:continuationSeparator/>
      </w:r>
    </w:p>
  </w:footnote>
  <w:footnote w:id="1">
    <w:p w14:paraId="1909CCC9" w14:textId="77777777" w:rsidR="008C518B" w:rsidRPr="008C518B" w:rsidRDefault="008C518B" w:rsidP="008C51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22431">
          <w:rPr>
            <w:rStyle w:val="Hyperlink"/>
            <w:sz w:val="18"/>
          </w:rPr>
          <w:t>https://environnement.public.lu/fr/offall-ressourcen/types-de-dechets/Dechets_menagers_encombrants_et_assimiles.html</w:t>
        </w:r>
      </w:hyperlink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D182" w14:textId="77777777" w:rsidR="00171849" w:rsidRDefault="00171849" w:rsidP="00A429E6">
    <w:pPr>
      <w:pStyle w:val="Header"/>
      <w:jc w:val="right"/>
    </w:pPr>
    <w:r>
      <w:rPr>
        <w:noProof/>
        <w:lang w:val="en-US"/>
      </w:rPr>
      <w:drawing>
        <wp:inline distT="0" distB="0" distL="0" distR="0" wp14:anchorId="352238EB" wp14:editId="7CEE6FCD">
          <wp:extent cx="2631678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V_MECDD_Administration_de_l’environnement_Rou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7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D51F3" w14:textId="77777777" w:rsidR="00171849" w:rsidRDefault="00171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4CDE"/>
    <w:multiLevelType w:val="hybridMultilevel"/>
    <w:tmpl w:val="23FE1160"/>
    <w:lvl w:ilvl="0" w:tplc="DA2C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689"/>
    <w:multiLevelType w:val="hybridMultilevel"/>
    <w:tmpl w:val="6A3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208F"/>
    <w:multiLevelType w:val="hybridMultilevel"/>
    <w:tmpl w:val="C57262CC"/>
    <w:lvl w:ilvl="0" w:tplc="EABE21F2">
      <w:start w:val="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B6B"/>
    <w:multiLevelType w:val="hybridMultilevel"/>
    <w:tmpl w:val="0930D338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F"/>
    <w:rsid w:val="000368D0"/>
    <w:rsid w:val="00037BC1"/>
    <w:rsid w:val="00043C7B"/>
    <w:rsid w:val="00047A21"/>
    <w:rsid w:val="000570EF"/>
    <w:rsid w:val="0005745F"/>
    <w:rsid w:val="00071D18"/>
    <w:rsid w:val="000B227D"/>
    <w:rsid w:val="000C74CF"/>
    <w:rsid w:val="000D3A79"/>
    <w:rsid w:val="000E119D"/>
    <w:rsid w:val="00102A73"/>
    <w:rsid w:val="00107338"/>
    <w:rsid w:val="0013547F"/>
    <w:rsid w:val="0016722D"/>
    <w:rsid w:val="00171849"/>
    <w:rsid w:val="001B3D9F"/>
    <w:rsid w:val="001C167D"/>
    <w:rsid w:val="001D1420"/>
    <w:rsid w:val="001D6C91"/>
    <w:rsid w:val="001F100B"/>
    <w:rsid w:val="00203305"/>
    <w:rsid w:val="0021136C"/>
    <w:rsid w:val="00217572"/>
    <w:rsid w:val="00237780"/>
    <w:rsid w:val="00292C67"/>
    <w:rsid w:val="002B3C88"/>
    <w:rsid w:val="002B761B"/>
    <w:rsid w:val="002C3D64"/>
    <w:rsid w:val="002E33CD"/>
    <w:rsid w:val="002F12B0"/>
    <w:rsid w:val="003015E2"/>
    <w:rsid w:val="00334070"/>
    <w:rsid w:val="00337867"/>
    <w:rsid w:val="00357441"/>
    <w:rsid w:val="00365BE5"/>
    <w:rsid w:val="00376F4B"/>
    <w:rsid w:val="003927C4"/>
    <w:rsid w:val="00395321"/>
    <w:rsid w:val="003B5539"/>
    <w:rsid w:val="003E357E"/>
    <w:rsid w:val="003F4AC8"/>
    <w:rsid w:val="0041138F"/>
    <w:rsid w:val="00426774"/>
    <w:rsid w:val="0045325A"/>
    <w:rsid w:val="004A4EE2"/>
    <w:rsid w:val="004F34F3"/>
    <w:rsid w:val="00502B90"/>
    <w:rsid w:val="00531027"/>
    <w:rsid w:val="00531C58"/>
    <w:rsid w:val="00541DDC"/>
    <w:rsid w:val="005D7450"/>
    <w:rsid w:val="005F558B"/>
    <w:rsid w:val="00606DF2"/>
    <w:rsid w:val="00637DDC"/>
    <w:rsid w:val="00640AFA"/>
    <w:rsid w:val="006510A8"/>
    <w:rsid w:val="006767B9"/>
    <w:rsid w:val="00690ADC"/>
    <w:rsid w:val="00696E70"/>
    <w:rsid w:val="006C4179"/>
    <w:rsid w:val="006C7AEE"/>
    <w:rsid w:val="006E6010"/>
    <w:rsid w:val="006F56AF"/>
    <w:rsid w:val="00710E19"/>
    <w:rsid w:val="00716E30"/>
    <w:rsid w:val="00733E64"/>
    <w:rsid w:val="007412C5"/>
    <w:rsid w:val="007457CD"/>
    <w:rsid w:val="007A55E1"/>
    <w:rsid w:val="007B5EF8"/>
    <w:rsid w:val="007E01AC"/>
    <w:rsid w:val="007E61ED"/>
    <w:rsid w:val="00817B14"/>
    <w:rsid w:val="008210D8"/>
    <w:rsid w:val="00830C58"/>
    <w:rsid w:val="00830F7A"/>
    <w:rsid w:val="008367F9"/>
    <w:rsid w:val="00854499"/>
    <w:rsid w:val="00885C84"/>
    <w:rsid w:val="008B47F9"/>
    <w:rsid w:val="008B4B0A"/>
    <w:rsid w:val="008B797C"/>
    <w:rsid w:val="008C0B12"/>
    <w:rsid w:val="008C518B"/>
    <w:rsid w:val="008D7E3F"/>
    <w:rsid w:val="008E009C"/>
    <w:rsid w:val="0090003B"/>
    <w:rsid w:val="009363BF"/>
    <w:rsid w:val="009527EE"/>
    <w:rsid w:val="00985C6B"/>
    <w:rsid w:val="009A572E"/>
    <w:rsid w:val="009C7D7D"/>
    <w:rsid w:val="009D2D4C"/>
    <w:rsid w:val="009D62F5"/>
    <w:rsid w:val="00A20EFC"/>
    <w:rsid w:val="00A429E6"/>
    <w:rsid w:val="00A61664"/>
    <w:rsid w:val="00A73098"/>
    <w:rsid w:val="00A80649"/>
    <w:rsid w:val="00A959F2"/>
    <w:rsid w:val="00AC22D4"/>
    <w:rsid w:val="00AD2EF3"/>
    <w:rsid w:val="00B0720A"/>
    <w:rsid w:val="00B130EB"/>
    <w:rsid w:val="00B37B10"/>
    <w:rsid w:val="00B4331D"/>
    <w:rsid w:val="00B46D54"/>
    <w:rsid w:val="00B56F85"/>
    <w:rsid w:val="00B744BD"/>
    <w:rsid w:val="00BC6D8B"/>
    <w:rsid w:val="00BE0038"/>
    <w:rsid w:val="00C22AF4"/>
    <w:rsid w:val="00C22CF6"/>
    <w:rsid w:val="00C37616"/>
    <w:rsid w:val="00C77827"/>
    <w:rsid w:val="00C81553"/>
    <w:rsid w:val="00C920DB"/>
    <w:rsid w:val="00C935F6"/>
    <w:rsid w:val="00CB3F68"/>
    <w:rsid w:val="00CB5377"/>
    <w:rsid w:val="00CB739B"/>
    <w:rsid w:val="00CC434D"/>
    <w:rsid w:val="00D023D2"/>
    <w:rsid w:val="00D41D64"/>
    <w:rsid w:val="00D435E9"/>
    <w:rsid w:val="00D65064"/>
    <w:rsid w:val="00D77678"/>
    <w:rsid w:val="00D83AFA"/>
    <w:rsid w:val="00D946F9"/>
    <w:rsid w:val="00DA1F7D"/>
    <w:rsid w:val="00DC3985"/>
    <w:rsid w:val="00DC4ED8"/>
    <w:rsid w:val="00DF0982"/>
    <w:rsid w:val="00DF66CF"/>
    <w:rsid w:val="00E010E5"/>
    <w:rsid w:val="00E313C9"/>
    <w:rsid w:val="00E501FE"/>
    <w:rsid w:val="00E6087C"/>
    <w:rsid w:val="00E62074"/>
    <w:rsid w:val="00E66B0A"/>
    <w:rsid w:val="00EA44E8"/>
    <w:rsid w:val="00EE0DDB"/>
    <w:rsid w:val="00F4111C"/>
    <w:rsid w:val="00F47F4F"/>
    <w:rsid w:val="00F765FD"/>
    <w:rsid w:val="00FC3E6C"/>
    <w:rsid w:val="00FD42C9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5885F"/>
  <w15:docId w15:val="{2621967D-4AB7-433C-BBE2-0B6E470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F3"/>
    <w:pPr>
      <w:spacing w:after="160" w:line="288" w:lineRule="auto"/>
    </w:pPr>
    <w:rPr>
      <w:rFonts w:ascii="Calibri Light" w:hAnsi="Calibri Light"/>
      <w:color w:val="262626"/>
      <w:sz w:val="22"/>
      <w:lang w:val="fr-LU"/>
    </w:rPr>
  </w:style>
  <w:style w:type="paragraph" w:styleId="Heading1">
    <w:name w:val="heading 1"/>
    <w:next w:val="Normal"/>
    <w:link w:val="Heading1Char"/>
    <w:uiPriority w:val="9"/>
    <w:qFormat/>
    <w:rsid w:val="00AD2EF3"/>
    <w:pPr>
      <w:spacing w:after="160" w:line="280" w:lineRule="atLeast"/>
      <w:outlineLvl w:val="0"/>
    </w:pPr>
    <w:rPr>
      <w:rFonts w:eastAsiaTheme="majorEastAsia" w:cstheme="majorBidi"/>
      <w:caps/>
      <w:color w:val="E40520"/>
      <w:sz w:val="46"/>
      <w:szCs w:val="46"/>
    </w:rPr>
  </w:style>
  <w:style w:type="paragraph" w:styleId="Heading2">
    <w:name w:val="heading 2"/>
    <w:next w:val="Normal"/>
    <w:link w:val="Heading2Char"/>
    <w:uiPriority w:val="9"/>
    <w:unhideWhenUsed/>
    <w:qFormat/>
    <w:rsid w:val="00AD2EF3"/>
    <w:pPr>
      <w:spacing w:before="240" w:after="160" w:line="288" w:lineRule="auto"/>
      <w:outlineLvl w:val="1"/>
    </w:pPr>
    <w:rPr>
      <w:rFonts w:eastAsia="Calibri"/>
      <w:b/>
      <w:caps/>
      <w:color w:val="E40520"/>
      <w:sz w:val="32"/>
      <w:szCs w:val="28"/>
      <w:lang w:val="fr-F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D2EF3"/>
    <w:pPr>
      <w:outlineLvl w:val="2"/>
    </w:pPr>
    <w:rPr>
      <w:rFonts w:ascii="Calibri Light" w:hAnsi="Calibri Light" w:cstheme="majorBidi"/>
      <w:color w:val="5A5A5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EF3"/>
    <w:pPr>
      <w:spacing w:before="360"/>
      <w:outlineLvl w:val="3"/>
    </w:pPr>
    <w:rPr>
      <w:b/>
      <w:i/>
      <w:color w:val="5A5A59"/>
      <w:sz w:val="24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EF3"/>
    <w:pPr>
      <w:spacing w:line="240" w:lineRule="auto"/>
      <w:outlineLvl w:val="4"/>
    </w:pPr>
    <w:rPr>
      <w:caps/>
      <w:color w:val="E40520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2EF3"/>
    <w:pPr>
      <w:spacing w:before="200" w:after="100"/>
      <w:ind w:left="720"/>
      <w:contextualSpacing/>
      <w:outlineLvl w:val="5"/>
    </w:pPr>
    <w:rPr>
      <w:rFonts w:eastAsiaTheme="majorEastAsia" w:cstheme="majorBidi"/>
      <w:caps/>
      <w:color w:val="E40520"/>
      <w:szCs w:val="22"/>
      <w:lang w:val="en-US"/>
    </w:rPr>
  </w:style>
  <w:style w:type="paragraph" w:styleId="Heading7">
    <w:name w:val="heading 7"/>
    <w:basedOn w:val="Heading8"/>
    <w:next w:val="Normal"/>
    <w:link w:val="Heading7Char"/>
    <w:qFormat/>
    <w:rsid w:val="00AD2EF3"/>
    <w:pPr>
      <w:outlineLvl w:val="6"/>
    </w:pPr>
    <w:rPr>
      <w:rFonts w:ascii="Calibri Light" w:eastAsia="Times New Roman" w:hAnsi="Calibri Light" w:cs="Times New Roman"/>
      <w:b w:val="0"/>
      <w:color w:val="E4052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C4E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C4E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2EF3"/>
    <w:rPr>
      <w:rFonts w:eastAsiaTheme="majorEastAsia" w:cstheme="majorBidi"/>
      <w:caps/>
      <w:color w:val="E40520"/>
      <w:sz w:val="46"/>
      <w:szCs w:val="46"/>
    </w:rPr>
  </w:style>
  <w:style w:type="character" w:customStyle="1" w:styleId="Heading2Char">
    <w:name w:val="Heading 2 Char"/>
    <w:link w:val="Heading2"/>
    <w:uiPriority w:val="9"/>
    <w:rsid w:val="00AD2EF3"/>
    <w:rPr>
      <w:rFonts w:eastAsia="Calibri"/>
      <w:b/>
      <w:caps/>
      <w:color w:val="E40520"/>
      <w:sz w:val="32"/>
      <w:szCs w:val="28"/>
      <w:lang w:val="fr-FR"/>
    </w:rPr>
  </w:style>
  <w:style w:type="paragraph" w:customStyle="1" w:styleId="Axis-Fonts">
    <w:name w:val="Axis-Fonts"/>
    <w:basedOn w:val="Normal"/>
    <w:link w:val="Axis-FontsChar"/>
    <w:qFormat/>
    <w:rsid w:val="00AD2EF3"/>
    <w:rPr>
      <w:sz w:val="20"/>
    </w:rPr>
  </w:style>
  <w:style w:type="character" w:customStyle="1" w:styleId="Axis-FontsChar">
    <w:name w:val="Axis-Fonts Char"/>
    <w:link w:val="Axis-Fonts"/>
    <w:rsid w:val="00AD2EF3"/>
    <w:rPr>
      <w:rFonts w:ascii="Calibri Light" w:hAnsi="Calibri Light"/>
      <w:color w:val="262626"/>
      <w:lang w:val="fr-LU"/>
    </w:rPr>
  </w:style>
  <w:style w:type="paragraph" w:customStyle="1" w:styleId="Table-Heading">
    <w:name w:val="Table-Heading"/>
    <w:basedOn w:val="IntenseQuote"/>
    <w:link w:val="Table-HeadingChar"/>
    <w:qFormat/>
    <w:rsid w:val="00AD2EF3"/>
    <w:pPr>
      <w:shd w:val="clear" w:color="auto" w:fill="auto"/>
    </w:pPr>
    <w:rPr>
      <w:rFonts w:eastAsia="Times New Roman" w:cs="Times New Roman"/>
      <w:b/>
      <w:bCs/>
      <w:color w:val="FFFFFF" w:themeColor="background1"/>
      <w:lang w:val="fr-FR"/>
    </w:rPr>
  </w:style>
  <w:style w:type="character" w:customStyle="1" w:styleId="Table-HeadingChar">
    <w:name w:val="Table-Heading Char"/>
    <w:link w:val="Table-Heading"/>
    <w:rsid w:val="00AD2EF3"/>
    <w:rPr>
      <w:rFonts w:ascii="Calibri Light" w:hAnsi="Calibri Light"/>
      <w:b/>
      <w:bCs/>
      <w:color w:val="FFFFFF" w:themeColor="background1"/>
      <w:sz w:val="22"/>
      <w:lang w:val="fr-FR"/>
    </w:rPr>
  </w:style>
  <w:style w:type="character" w:customStyle="1" w:styleId="Heading3Char">
    <w:name w:val="Heading 3 Char"/>
    <w:link w:val="Heading3"/>
    <w:uiPriority w:val="9"/>
    <w:rsid w:val="00AD2EF3"/>
    <w:rPr>
      <w:rFonts w:ascii="Calibri Light" w:eastAsia="Calibri" w:hAnsi="Calibri Light" w:cstheme="majorBidi"/>
      <w:b/>
      <w:caps/>
      <w:color w:val="5A5A59"/>
      <w:sz w:val="24"/>
      <w:szCs w:val="28"/>
      <w:lang w:val="fr-FR"/>
    </w:rPr>
  </w:style>
  <w:style w:type="character" w:customStyle="1" w:styleId="Heading4Char">
    <w:name w:val="Heading 4 Char"/>
    <w:link w:val="Heading4"/>
    <w:uiPriority w:val="9"/>
    <w:rsid w:val="00AD2EF3"/>
    <w:rPr>
      <w:rFonts w:ascii="Calibri Light" w:hAnsi="Calibri Light"/>
      <w:b/>
      <w:i/>
      <w:color w:val="5A5A59"/>
      <w:sz w:val="24"/>
      <w:szCs w:val="22"/>
    </w:rPr>
  </w:style>
  <w:style w:type="character" w:customStyle="1" w:styleId="Heading5Char">
    <w:name w:val="Heading 5 Char"/>
    <w:link w:val="Heading5"/>
    <w:uiPriority w:val="9"/>
    <w:rsid w:val="00AD2EF3"/>
    <w:rPr>
      <w:rFonts w:ascii="Calibri Light" w:hAnsi="Calibri Light"/>
      <w:caps/>
      <w:color w:val="E40520"/>
      <w:sz w:val="22"/>
      <w:szCs w:val="22"/>
    </w:rPr>
  </w:style>
  <w:style w:type="character" w:customStyle="1" w:styleId="Heading6Char">
    <w:name w:val="Heading 6 Char"/>
    <w:link w:val="Heading6"/>
    <w:uiPriority w:val="9"/>
    <w:rsid w:val="00AD2EF3"/>
    <w:rPr>
      <w:rFonts w:ascii="Calibri Light" w:eastAsiaTheme="majorEastAsia" w:hAnsi="Calibri Light" w:cstheme="majorBidi"/>
      <w:caps/>
      <w:color w:val="E4052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ED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ED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EF3"/>
    <w:pPr>
      <w:spacing w:before="240"/>
    </w:pPr>
    <w:rPr>
      <w:bCs/>
      <w:smallCaps/>
      <w:color w:val="5A5A59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2EF3"/>
    <w:pPr>
      <w:spacing w:before="480"/>
    </w:pPr>
    <w:rPr>
      <w:rFonts w:eastAsiaTheme="majorEastAsia" w:cstheme="majorBidi"/>
      <w:caps/>
      <w:color w:val="E40520"/>
      <w:sz w:val="72"/>
      <w:szCs w:val="72"/>
      <w:lang w:val="en-US"/>
    </w:rPr>
  </w:style>
  <w:style w:type="character" w:customStyle="1" w:styleId="TitleChar">
    <w:name w:val="Title Char"/>
    <w:link w:val="Title"/>
    <w:uiPriority w:val="10"/>
    <w:rsid w:val="00AD2EF3"/>
    <w:rPr>
      <w:rFonts w:ascii="Calibri Light" w:eastAsiaTheme="majorEastAsia" w:hAnsi="Calibri Light" w:cstheme="majorBidi"/>
      <w:caps/>
      <w:color w:val="E40520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D2EF3"/>
    <w:pPr>
      <w:spacing w:after="160" w:line="288" w:lineRule="auto"/>
    </w:pPr>
    <w:rPr>
      <w:b/>
      <w:caps/>
      <w:color w:val="424B5B"/>
      <w:sz w:val="32"/>
      <w:szCs w:val="32"/>
    </w:rPr>
  </w:style>
  <w:style w:type="character" w:customStyle="1" w:styleId="SubtitleChar">
    <w:name w:val="Subtitle Char"/>
    <w:link w:val="Subtitle"/>
    <w:uiPriority w:val="11"/>
    <w:rsid w:val="00AD2EF3"/>
    <w:rPr>
      <w:b/>
      <w:caps/>
      <w:color w:val="424B5B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EF3"/>
    <w:pPr>
      <w:shd w:val="clear" w:color="auto" w:fill="E1DFDF"/>
    </w:pPr>
    <w:rPr>
      <w:rFonts w:eastAsiaTheme="majorEastAsia" w:cstheme="majorBidi"/>
    </w:rPr>
  </w:style>
  <w:style w:type="character" w:customStyle="1" w:styleId="IntenseQuoteChar">
    <w:name w:val="Intense Quote Char"/>
    <w:link w:val="IntenseQuote"/>
    <w:uiPriority w:val="30"/>
    <w:rsid w:val="00AD2EF3"/>
    <w:rPr>
      <w:rFonts w:ascii="Calibri Light" w:eastAsiaTheme="majorEastAsia" w:hAnsi="Calibri Light" w:cstheme="majorBidi"/>
      <w:color w:val="262626"/>
      <w:sz w:val="22"/>
      <w:shd w:val="clear" w:color="auto" w:fill="E1DFDF"/>
      <w:lang w:val="fr-L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EF3"/>
    <w:pPr>
      <w:outlineLvl w:val="9"/>
    </w:pPr>
    <w:rPr>
      <w:lang w:bidi="en-US"/>
    </w:rPr>
  </w:style>
  <w:style w:type="table" w:customStyle="1" w:styleId="AEV">
    <w:name w:val="AEV"/>
    <w:basedOn w:val="TableNormal"/>
    <w:uiPriority w:val="99"/>
    <w:rsid w:val="00690ADC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</w:tblBorders>
    </w:tbl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595959" w:themeFill="text1" w:themeFillTint="A6"/>
      </w:tcPr>
    </w:tblStylePr>
  </w:style>
  <w:style w:type="paragraph" w:customStyle="1" w:styleId="Title2">
    <w:name w:val="Title 2"/>
    <w:basedOn w:val="Title"/>
    <w:link w:val="Title2Char"/>
    <w:qFormat/>
    <w:rsid w:val="00AD2EF3"/>
    <w:rPr>
      <w:rFonts w:eastAsia="Calibri"/>
      <w:sz w:val="52"/>
    </w:rPr>
  </w:style>
  <w:style w:type="character" w:customStyle="1" w:styleId="Title2Char">
    <w:name w:val="Title 2 Char"/>
    <w:link w:val="Title2"/>
    <w:rsid w:val="00AD2EF3"/>
    <w:rPr>
      <w:rFonts w:ascii="Calibri Light" w:eastAsia="Calibri" w:hAnsi="Calibri Light" w:cstheme="majorBidi"/>
      <w:caps/>
      <w:color w:val="E40520"/>
      <w:sz w:val="52"/>
      <w:szCs w:val="72"/>
    </w:rPr>
  </w:style>
  <w:style w:type="paragraph" w:customStyle="1" w:styleId="BulletPoint">
    <w:name w:val="BulletPoint"/>
    <w:basedOn w:val="Normal"/>
    <w:link w:val="BulletPointChar"/>
    <w:qFormat/>
    <w:rsid w:val="00AD2EF3"/>
    <w:pPr>
      <w:ind w:left="720" w:hanging="360"/>
    </w:pPr>
    <w:rPr>
      <w:lang w:val="fr-FR"/>
    </w:rPr>
  </w:style>
  <w:style w:type="character" w:customStyle="1" w:styleId="BulletPointChar">
    <w:name w:val="BulletPoint Char"/>
    <w:basedOn w:val="DefaultParagraphFont"/>
    <w:link w:val="BulletPoint"/>
    <w:rsid w:val="00AD2EF3"/>
    <w:rPr>
      <w:rFonts w:ascii="Calibri Light" w:hAnsi="Calibri Light"/>
      <w:color w:val="262626"/>
      <w:sz w:val="22"/>
      <w:lang w:val="fr-FR"/>
    </w:rPr>
  </w:style>
  <w:style w:type="paragraph" w:customStyle="1" w:styleId="numbering">
    <w:name w:val="numbering"/>
    <w:basedOn w:val="BulletPoint"/>
    <w:link w:val="numberingChar"/>
    <w:qFormat/>
    <w:rsid w:val="00AD2EF3"/>
  </w:style>
  <w:style w:type="character" w:customStyle="1" w:styleId="numberingChar">
    <w:name w:val="numbering Char"/>
    <w:basedOn w:val="DefaultParagraphFont"/>
    <w:link w:val="numbering"/>
    <w:rsid w:val="00AD2EF3"/>
    <w:rPr>
      <w:rFonts w:ascii="Calibri Light" w:hAnsi="Calibri Light"/>
      <w:color w:val="262626"/>
      <w:sz w:val="22"/>
      <w:lang w:val="fr-FR"/>
    </w:rPr>
  </w:style>
  <w:style w:type="paragraph" w:customStyle="1" w:styleId="Titre3">
    <w:name w:val="Titre 3"/>
    <w:basedOn w:val="Heading1"/>
    <w:link w:val="Titre3Char"/>
    <w:qFormat/>
    <w:rsid w:val="00AD2EF3"/>
    <w:rPr>
      <w:rFonts w:ascii="Calibri Light" w:eastAsia="Calibri" w:hAnsi="Calibri Light"/>
      <w:sz w:val="48"/>
    </w:rPr>
  </w:style>
  <w:style w:type="character" w:customStyle="1" w:styleId="Titre3Char">
    <w:name w:val="Titre 3 Char"/>
    <w:basedOn w:val="Title2Char"/>
    <w:link w:val="Titre3"/>
    <w:rsid w:val="00AD2EF3"/>
    <w:rPr>
      <w:rFonts w:ascii="Calibri Light" w:eastAsia="Calibri" w:hAnsi="Calibri Light" w:cstheme="majorBidi"/>
      <w:caps/>
      <w:color w:val="E40520"/>
      <w:sz w:val="48"/>
      <w:szCs w:val="46"/>
    </w:rPr>
  </w:style>
  <w:style w:type="character" w:customStyle="1" w:styleId="Heading7Char">
    <w:name w:val="Heading 7 Char"/>
    <w:link w:val="Heading7"/>
    <w:rsid w:val="00AD2EF3"/>
    <w:rPr>
      <w:rFonts w:ascii="Calibri Light" w:hAnsi="Calibri Light"/>
      <w:smallCaps/>
      <w:color w:val="E40520"/>
      <w:spacing w:val="20"/>
      <w:szCs w:val="16"/>
    </w:rPr>
  </w:style>
  <w:style w:type="paragraph" w:styleId="NormalWeb">
    <w:name w:val="Normal (Web)"/>
    <w:basedOn w:val="Normal"/>
    <w:uiPriority w:val="99"/>
    <w:semiHidden/>
    <w:unhideWhenUsed/>
    <w:rsid w:val="006510A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lb-LU" w:eastAsia="lb-LU"/>
    </w:rPr>
  </w:style>
  <w:style w:type="paragraph" w:styleId="ListParagraph">
    <w:name w:val="List Paragraph"/>
    <w:basedOn w:val="Normal"/>
    <w:link w:val="ListParagraphChar"/>
    <w:uiPriority w:val="34"/>
    <w:qFormat/>
    <w:rsid w:val="00651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F9"/>
    <w:rPr>
      <w:rFonts w:ascii="Tahoma" w:hAnsi="Tahoma" w:cs="Tahoma"/>
      <w:color w:val="262626"/>
      <w:sz w:val="16"/>
      <w:szCs w:val="16"/>
      <w:lang w:val="fr-LU"/>
    </w:rPr>
  </w:style>
  <w:style w:type="table" w:styleId="LightShading-Accent6">
    <w:name w:val="Light Shading Accent 6"/>
    <w:basedOn w:val="TableNormal"/>
    <w:uiPriority w:val="60"/>
    <w:rsid w:val="0017184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7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49"/>
    <w:rPr>
      <w:rFonts w:ascii="Calibri Light" w:hAnsi="Calibri Light"/>
      <w:color w:val="262626"/>
      <w:sz w:val="22"/>
      <w:lang w:val="fr-LU"/>
    </w:rPr>
  </w:style>
  <w:style w:type="paragraph" w:styleId="Footer">
    <w:name w:val="footer"/>
    <w:basedOn w:val="Normal"/>
    <w:link w:val="FooterChar"/>
    <w:uiPriority w:val="99"/>
    <w:unhideWhenUsed/>
    <w:rsid w:val="0017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49"/>
    <w:rPr>
      <w:rFonts w:ascii="Calibri Light" w:hAnsi="Calibri Light"/>
      <w:color w:val="262626"/>
      <w:sz w:val="22"/>
      <w:lang w:val="fr-LU"/>
    </w:rPr>
  </w:style>
  <w:style w:type="table" w:styleId="LightShading-Accent3">
    <w:name w:val="Light Shading Accent 3"/>
    <w:basedOn w:val="TableNormal"/>
    <w:uiPriority w:val="60"/>
    <w:rsid w:val="0023778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C22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F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F7A"/>
    <w:rPr>
      <w:rFonts w:ascii="Calibri Light" w:hAnsi="Calibri Light"/>
      <w:color w:val="262626"/>
      <w:lang w:val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7A"/>
    <w:rPr>
      <w:rFonts w:ascii="Calibri Light" w:hAnsi="Calibri Light"/>
      <w:b/>
      <w:bCs/>
      <w:color w:val="262626"/>
      <w:lang w:val="fr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A7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A79"/>
    <w:rPr>
      <w:rFonts w:ascii="Calibri Light" w:hAnsi="Calibri Light"/>
      <w:color w:val="262626"/>
      <w:lang w:val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0D3A79"/>
    <w:rPr>
      <w:vertAlign w:val="superscript"/>
    </w:rPr>
  </w:style>
  <w:style w:type="paragraph" w:customStyle="1" w:styleId="Default">
    <w:name w:val="Default"/>
    <w:rsid w:val="00541DDC"/>
    <w:pPr>
      <w:autoSpaceDE w:val="0"/>
      <w:autoSpaceDN w:val="0"/>
      <w:adjustRightInd w:val="0"/>
    </w:pPr>
    <w:rPr>
      <w:rFonts w:ascii="Sofia Pro Soft Light" w:hAnsi="Sofia Pro Soft Light" w:cs="Sofia Pro Soft Light"/>
      <w:color w:val="000000"/>
      <w:sz w:val="24"/>
      <w:szCs w:val="24"/>
    </w:rPr>
  </w:style>
  <w:style w:type="character" w:customStyle="1" w:styleId="A0">
    <w:name w:val="A0"/>
    <w:uiPriority w:val="99"/>
    <w:rsid w:val="00541DDC"/>
    <w:rPr>
      <w:rFonts w:cs="Sofia Pro Soft Light"/>
      <w:color w:val="000000"/>
      <w:sz w:val="19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572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B56F85"/>
    <w:rPr>
      <w:rFonts w:ascii="Calibri Light" w:hAnsi="Calibri Light"/>
      <w:color w:val="262626"/>
      <w:sz w:val="22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vironnement.public.lu/fr/offall-ressourcen/types-de-dechets/Dechets_menagers_encombrants_et_assimil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Vermeidbare Lebensmittelabfälle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Vermeidbare Lebensmittelabfälle 2019
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95B-4B24-B364-875341B5C8B0}"/>
              </c:ext>
            </c:extLst>
          </c:dPt>
          <c:dPt>
            <c:idx val="1"/>
            <c:bubble3D val="0"/>
            <c:spPr>
              <a:solidFill>
                <a:schemeClr val="accent6">
                  <a:tint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95B-4B24-B364-875341B5C8B0}"/>
              </c:ext>
            </c:extLst>
          </c:dPt>
          <c:dPt>
            <c:idx val="2"/>
            <c:bubble3D val="0"/>
            <c:spPr>
              <a:solidFill>
                <a:schemeClr val="accent6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195B-4B24-B364-875341B5C8B0}"/>
              </c:ext>
            </c:extLst>
          </c:dPt>
          <c:dPt>
            <c:idx val="3"/>
            <c:bubble3D val="0"/>
            <c:spPr>
              <a:solidFill>
                <a:schemeClr val="accent6">
                  <a:tint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195B-4B24-B364-875341B5C8B0}"/>
              </c:ext>
            </c:extLst>
          </c:dPt>
          <c:dPt>
            <c:idx val="4"/>
            <c:bubble3D val="0"/>
            <c:spPr>
              <a:solidFill>
                <a:schemeClr val="accent6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195B-4B24-B364-875341B5C8B0}"/>
              </c:ext>
            </c:extLst>
          </c:dPt>
          <c:dPt>
            <c:idx val="5"/>
            <c:bubble3D val="0"/>
            <c:spPr>
              <a:solidFill>
                <a:schemeClr val="accent6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95B-4B24-B364-875341B5C8B0}"/>
              </c:ext>
            </c:extLst>
          </c:dPt>
          <c:dPt>
            <c:idx val="6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95B-4B24-B364-875341B5C8B0}"/>
              </c:ext>
            </c:extLst>
          </c:dPt>
          <c:dPt>
            <c:idx val="7"/>
            <c:bubble3D val="0"/>
            <c:spPr>
              <a:solidFill>
                <a:schemeClr val="accent6">
                  <a:shade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195B-4B24-B364-875341B5C8B0}"/>
              </c:ext>
            </c:extLst>
          </c:dPt>
          <c:dPt>
            <c:idx val="8"/>
            <c:bubble3D val="0"/>
            <c:spPr>
              <a:solidFill>
                <a:schemeClr val="accent6">
                  <a:shade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95B-4B24-B364-875341B5C8B0}"/>
              </c:ext>
            </c:extLst>
          </c:dPt>
          <c:dPt>
            <c:idx val="9"/>
            <c:bubble3D val="0"/>
            <c:spPr>
              <a:solidFill>
                <a:schemeClr val="accent6">
                  <a:shade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5AA-4F6E-B034-8F00D5A8DE6E}"/>
              </c:ext>
            </c:extLst>
          </c:dPt>
          <c:dPt>
            <c:idx val="10"/>
            <c:bubble3D val="0"/>
            <c:spPr>
              <a:solidFill>
                <a:schemeClr val="accent6">
                  <a:shade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F5AA-4F6E-B034-8F00D5A8DE6E}"/>
              </c:ext>
            </c:extLst>
          </c:dPt>
          <c:dPt>
            <c:idx val="11"/>
            <c:bubble3D val="0"/>
            <c:spPr>
              <a:solidFill>
                <a:schemeClr val="accent6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F5AA-4F6E-B034-8F00D5A8DE6E}"/>
              </c:ext>
            </c:extLst>
          </c:dPt>
          <c:dPt>
            <c:idx val="12"/>
            <c:bubble3D val="0"/>
            <c:spPr>
              <a:solidFill>
                <a:schemeClr val="accent6">
                  <a:shade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F5AA-4F6E-B034-8F00D5A8DE6E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195B-4B24-B364-875341B5C8B0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195B-4B24-B364-875341B5C8B0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0-195B-4B24-B364-875341B5C8B0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195B-4B24-B364-875341B5C8B0}"/>
                </c:ext>
              </c:extLst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4-195B-4B24-B364-875341B5C8B0}"/>
                </c:ext>
              </c:extLst>
            </c:dLbl>
            <c:dLbl>
              <c:idx val="5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3-195B-4B24-B364-875341B5C8B0}"/>
                </c:ext>
              </c:extLst>
            </c:dLbl>
            <c:dLbl>
              <c:idx val="6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5-195B-4B24-B364-875341B5C8B0}"/>
                </c:ext>
              </c:extLst>
            </c:dLbl>
            <c:dLbl>
              <c:idx val="7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6-195B-4B24-B364-875341B5C8B0}"/>
                </c:ext>
              </c:extLst>
            </c:dLbl>
            <c:dLbl>
              <c:idx val="8"/>
              <c:layout>
                <c:manualLayout>
                  <c:x val="1.6877637130801686E-2"/>
                  <c:y val="-2.831402831402832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7-195B-4B24-B364-875341B5C8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Sheet1!$A$2:$A$14</c:f>
              <c:strCache>
                <c:ptCount val="13"/>
                <c:pt idx="0">
                  <c:v>Brot-und Backwaren</c:v>
                </c:pt>
                <c:pt idx="1">
                  <c:v>Verpackte Lebensmittel (MDH abgelaufen)</c:v>
                </c:pt>
                <c:pt idx="2">
                  <c:v>Fleisch</c:v>
                </c:pt>
                <c:pt idx="3">
                  <c:v>Obst und Gemüse (ganz)</c:v>
                </c:pt>
                <c:pt idx="4">
                  <c:v>Teile von Obst und Gemüse</c:v>
                </c:pt>
                <c:pt idx="5">
                  <c:v>Nicht identifizierbar </c:v>
                </c:pt>
                <c:pt idx="6">
                  <c:v>Milchprodukte </c:v>
                </c:pt>
                <c:pt idx="7">
                  <c:v>Speisereste </c:v>
                </c:pt>
                <c:pt idx="8">
                  <c:v>Getränke</c:v>
                </c:pt>
                <c:pt idx="9">
                  <c:v>Milch </c:v>
                </c:pt>
                <c:pt idx="10">
                  <c:v>Fisch </c:v>
                </c:pt>
                <c:pt idx="11">
                  <c:v>Verpackte Lebensmittel (MDH nicht abgelaufen)</c:v>
                </c:pt>
                <c:pt idx="12">
                  <c:v>Fast aufgebrauchte Lebensmittel mit Verpackung</c:v>
                </c:pt>
              </c:strCache>
            </c:strRef>
          </c:cat>
          <c:val>
            <c:numRef>
              <c:f>Sheet1!$B$2:$B$14</c:f>
              <c:numCache>
                <c:formatCode>0%</c:formatCode>
                <c:ptCount val="13"/>
                <c:pt idx="0">
                  <c:v>0.3</c:v>
                </c:pt>
                <c:pt idx="1">
                  <c:v>0.15</c:v>
                </c:pt>
                <c:pt idx="2">
                  <c:v>0.14000000000000001</c:v>
                </c:pt>
                <c:pt idx="3">
                  <c:v>0.1</c:v>
                </c:pt>
                <c:pt idx="4">
                  <c:v>0.05</c:v>
                </c:pt>
                <c:pt idx="5">
                  <c:v>0.09</c:v>
                </c:pt>
                <c:pt idx="6">
                  <c:v>7.0000000000000007E-2</c:v>
                </c:pt>
                <c:pt idx="7">
                  <c:v>0.04</c:v>
                </c:pt>
                <c:pt idx="8">
                  <c:v>0.02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5B-4B24-B364-875341B5C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0BF0-BC1B-425D-8926-7DC30CAF0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6C279-5AE3-42AB-9CD9-6872EC890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466B-DA93-4C16-B811-1E9B69DC1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0F76D-B0F9-4A79-A388-58AC820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Dengler</dc:creator>
  <cp:keywords/>
  <cp:lastModifiedBy>Christine Bovi</cp:lastModifiedBy>
  <cp:revision>2</cp:revision>
  <cp:lastPrinted>2020-09-22T08:35:00Z</cp:lastPrinted>
  <dcterms:created xsi:type="dcterms:W3CDTF">2020-09-22T15:00:00Z</dcterms:created>
  <dcterms:modified xsi:type="dcterms:W3CDTF">2020-09-22T15:00:00Z</dcterms:modified>
</cp:coreProperties>
</file>